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napToGrid w:val="0"/>
          <w:kern w:val="2"/>
          <w:sz w:val="44"/>
          <w:szCs w:val="44"/>
          <w:lang w:eastAsia="zh-CN" w:bidi="ar-SA"/>
        </w:rPr>
      </w:pPr>
      <w:r>
        <w:rPr>
          <w:rFonts w:hint="eastAsia" w:asciiTheme="majorEastAsia" w:hAnsiTheme="majorEastAsia" w:eastAsiaTheme="majorEastAsia"/>
          <w:snapToGrid w:val="0"/>
          <w:kern w:val="2"/>
          <w:sz w:val="44"/>
          <w:szCs w:val="44"/>
          <w:lang w:eastAsia="zh-CN" w:bidi="ar-SA"/>
        </w:rPr>
        <w:t>安徽省农垦集团有限公司</w:t>
      </w:r>
    </w:p>
    <w:p>
      <w:pPr>
        <w:jc w:val="center"/>
        <w:rPr>
          <w:rFonts w:asciiTheme="majorEastAsia" w:hAnsiTheme="majorEastAsia" w:eastAsiaTheme="majorEastAsia"/>
          <w:sz w:val="44"/>
          <w:szCs w:val="44"/>
          <w:lang w:eastAsia="zh-CN"/>
        </w:rPr>
      </w:pPr>
      <w:r>
        <w:rPr>
          <w:rFonts w:hint="eastAsia" w:asciiTheme="majorEastAsia" w:hAnsiTheme="majorEastAsia" w:eastAsiaTheme="majorEastAsia"/>
          <w:snapToGrid w:val="0"/>
          <w:kern w:val="2"/>
          <w:sz w:val="44"/>
          <w:szCs w:val="44"/>
          <w:lang w:eastAsia="zh-CN" w:bidi="ar-SA"/>
        </w:rPr>
        <w:t>202</w:t>
      </w:r>
      <w:r>
        <w:rPr>
          <w:rFonts w:hint="eastAsia" w:asciiTheme="majorEastAsia" w:hAnsiTheme="majorEastAsia" w:eastAsiaTheme="majorEastAsia"/>
          <w:snapToGrid w:val="0"/>
          <w:kern w:val="2"/>
          <w:sz w:val="44"/>
          <w:szCs w:val="44"/>
          <w:lang w:val="en-US" w:eastAsia="zh-CN" w:bidi="ar-SA"/>
        </w:rPr>
        <w:t>2</w:t>
      </w:r>
      <w:r>
        <w:rPr>
          <w:rFonts w:hint="eastAsia" w:asciiTheme="majorEastAsia" w:hAnsiTheme="majorEastAsia" w:eastAsiaTheme="majorEastAsia"/>
          <w:snapToGrid w:val="0"/>
          <w:kern w:val="2"/>
          <w:sz w:val="44"/>
          <w:szCs w:val="44"/>
          <w:lang w:eastAsia="zh-CN" w:bidi="ar-SA"/>
        </w:rPr>
        <w:t>年比选文件</w:t>
      </w:r>
    </w:p>
    <w:p>
      <w:pPr>
        <w:jc w:val="both"/>
        <w:rPr>
          <w:rFonts w:ascii="仿宋_GB2312" w:hAnsi="宋体" w:eastAsia="仿宋_GB2312"/>
          <w:sz w:val="32"/>
          <w:szCs w:val="32"/>
          <w:lang w:eastAsia="zh-CN"/>
        </w:rPr>
      </w:pPr>
    </w:p>
    <w:p>
      <w:pPr>
        <w:ind w:firstLine="640" w:firstLineChars="200"/>
        <w:jc w:val="both"/>
        <w:rPr>
          <w:rFonts w:ascii="黑体" w:hAnsi="黑体" w:eastAsia="黑体"/>
          <w:sz w:val="32"/>
          <w:szCs w:val="32"/>
          <w:lang w:eastAsia="zh-CN"/>
        </w:rPr>
      </w:pPr>
      <w:r>
        <w:rPr>
          <w:rFonts w:hint="eastAsia" w:ascii="黑体" w:hAnsi="黑体" w:eastAsia="黑体"/>
          <w:sz w:val="32"/>
          <w:szCs w:val="32"/>
          <w:lang w:eastAsia="zh-CN"/>
        </w:rPr>
        <w:t>一、比选内容</w:t>
      </w:r>
    </w:p>
    <w:p>
      <w:pPr>
        <w:ind w:firstLine="640" w:firstLineChars="200"/>
        <w:outlineLvl w:val="1"/>
        <w:rPr>
          <w:rFonts w:ascii="仿宋_GB2312" w:hAnsi="黑体" w:eastAsia="仿宋_GB2312" w:cs="黑体"/>
          <w:sz w:val="32"/>
          <w:szCs w:val="32"/>
          <w:lang w:eastAsia="zh-CN"/>
        </w:rPr>
      </w:pPr>
      <w:r>
        <w:rPr>
          <w:rFonts w:hint="eastAsia" w:ascii="仿宋_GB2312" w:hAnsi="黑体" w:eastAsia="仿宋_GB2312" w:cs="黑体"/>
          <w:sz w:val="32"/>
          <w:szCs w:val="32"/>
          <w:highlight w:val="none"/>
          <w:lang w:eastAsia="zh-CN"/>
        </w:rPr>
        <w:t>安徽省农垦集团有限公司（以下简称“安徽农垦”）债务融资工具公开比选中期票据</w:t>
      </w:r>
      <w:r>
        <w:rPr>
          <w:rFonts w:hint="eastAsia" w:ascii="仿宋_GB2312" w:hAnsi="黑体" w:eastAsia="仿宋_GB2312" w:cs="黑体"/>
          <w:sz w:val="32"/>
          <w:szCs w:val="32"/>
          <w:highlight w:val="none"/>
          <w:lang w:val="en-US" w:eastAsia="zh-CN"/>
        </w:rPr>
        <w:t>主</w:t>
      </w:r>
      <w:r>
        <w:rPr>
          <w:rFonts w:hint="eastAsia" w:ascii="仿宋_GB2312" w:hAnsi="黑体" w:eastAsia="仿宋_GB2312" w:cs="黑体"/>
          <w:sz w:val="32"/>
          <w:szCs w:val="32"/>
          <w:highlight w:val="none"/>
          <w:lang w:eastAsia="zh-CN"/>
        </w:rPr>
        <w:t>承销商</w:t>
      </w:r>
      <w:r>
        <w:rPr>
          <w:rFonts w:hint="eastAsia" w:ascii="仿宋_GB2312" w:hAnsi="黑体" w:eastAsia="仿宋_GB2312" w:cs="黑体"/>
          <w:sz w:val="32"/>
          <w:szCs w:val="32"/>
          <w:highlight w:val="none"/>
          <w:lang w:val="en-US" w:eastAsia="zh-CN"/>
        </w:rPr>
        <w:t>2</w:t>
      </w:r>
      <w:r>
        <w:rPr>
          <w:rFonts w:hint="eastAsia" w:ascii="仿宋_GB2312" w:hAnsi="黑体" w:eastAsia="仿宋_GB2312" w:cs="黑体"/>
          <w:sz w:val="32"/>
          <w:szCs w:val="32"/>
          <w:highlight w:val="none"/>
          <w:lang w:eastAsia="zh-CN"/>
        </w:rPr>
        <w:t>名，</w:t>
      </w:r>
      <w:r>
        <w:rPr>
          <w:rFonts w:hint="eastAsia" w:ascii="仿宋_GB2312" w:hAnsi="黑体" w:eastAsia="仿宋_GB2312" w:cs="黑体"/>
          <w:sz w:val="32"/>
          <w:szCs w:val="32"/>
          <w:highlight w:val="none"/>
          <w:lang w:val="en-US" w:eastAsia="zh-CN"/>
        </w:rPr>
        <w:t>分别负责主承销1期</w:t>
      </w:r>
      <w:r>
        <w:rPr>
          <w:rFonts w:hint="eastAsia" w:eastAsia="仿宋_GB2312"/>
          <w:snapToGrid w:val="0"/>
          <w:kern w:val="2"/>
          <w:sz w:val="32"/>
          <w:szCs w:val="32"/>
          <w:highlight w:val="none"/>
          <w:lang w:eastAsia="zh-CN" w:bidi="ar-SA"/>
        </w:rPr>
        <w:t>中期票据（</w:t>
      </w:r>
      <w:r>
        <w:rPr>
          <w:rFonts w:hint="eastAsia" w:eastAsia="仿宋_GB2312"/>
          <w:snapToGrid w:val="0"/>
          <w:kern w:val="2"/>
          <w:sz w:val="32"/>
          <w:szCs w:val="32"/>
          <w:highlight w:val="none"/>
          <w:lang w:val="en-US" w:eastAsia="zh-CN" w:bidi="ar-SA"/>
        </w:rPr>
        <w:t>1期5亿元</w:t>
      </w:r>
      <w:r>
        <w:rPr>
          <w:rFonts w:hint="eastAsia" w:eastAsia="仿宋_GB2312"/>
          <w:snapToGrid w:val="0"/>
          <w:kern w:val="2"/>
          <w:sz w:val="32"/>
          <w:szCs w:val="32"/>
          <w:highlight w:val="none"/>
          <w:lang w:eastAsia="zh-CN" w:bidi="ar-SA"/>
        </w:rPr>
        <w:t>）</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highlight w:val="none"/>
          <w:lang w:eastAsia="zh-CN"/>
        </w:rPr>
        <w:t>公开比选</w:t>
      </w:r>
      <w:r>
        <w:rPr>
          <w:rFonts w:hint="eastAsia" w:ascii="仿宋_GB2312" w:hAnsi="黑体" w:eastAsia="仿宋_GB2312" w:cs="黑体"/>
          <w:sz w:val="32"/>
          <w:szCs w:val="32"/>
          <w:lang w:eastAsia="zh-CN"/>
        </w:rPr>
        <w:t>超短期融资券</w:t>
      </w:r>
      <w:r>
        <w:rPr>
          <w:rFonts w:hint="eastAsia" w:ascii="仿宋_GB2312" w:hAnsi="黑体" w:eastAsia="仿宋_GB2312" w:cs="黑体"/>
          <w:sz w:val="32"/>
          <w:szCs w:val="32"/>
          <w:highlight w:val="none"/>
          <w:lang w:eastAsia="zh-CN"/>
        </w:rPr>
        <w:t>联席</w:t>
      </w:r>
      <w:r>
        <w:rPr>
          <w:rFonts w:hint="eastAsia" w:ascii="仿宋_GB2312" w:hAnsi="黑体" w:eastAsia="仿宋_GB2312" w:cs="黑体"/>
          <w:sz w:val="32"/>
          <w:szCs w:val="32"/>
          <w:lang w:eastAsia="zh-CN"/>
        </w:rPr>
        <w:t>承销商</w:t>
      </w:r>
      <w:r>
        <w:rPr>
          <w:rFonts w:hint="eastAsia" w:ascii="仿宋_GB2312" w:hAnsi="黑体" w:eastAsia="仿宋_GB2312" w:cs="黑体"/>
          <w:sz w:val="32"/>
          <w:szCs w:val="32"/>
          <w:lang w:val="en-US" w:eastAsia="zh-CN"/>
        </w:rPr>
        <w:t>6</w:t>
      </w:r>
      <w:r>
        <w:rPr>
          <w:rFonts w:hint="eastAsia" w:ascii="仿宋_GB2312" w:hAnsi="黑体" w:eastAsia="仿宋_GB2312" w:cs="黑体"/>
          <w:sz w:val="32"/>
          <w:szCs w:val="32"/>
          <w:lang w:eastAsia="zh-CN"/>
        </w:rPr>
        <w:t>名，</w:t>
      </w:r>
      <w:r>
        <w:rPr>
          <w:rFonts w:hint="eastAsia" w:ascii="仿宋_GB2312" w:hAnsi="黑体" w:eastAsia="仿宋_GB2312" w:cs="黑体"/>
          <w:sz w:val="32"/>
          <w:szCs w:val="32"/>
          <w:lang w:val="en-US" w:eastAsia="zh-CN"/>
        </w:rPr>
        <w:t>组成联席承销团</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highlight w:val="none"/>
          <w:lang w:val="en-US" w:eastAsia="zh-CN"/>
        </w:rPr>
        <w:t>负责承销</w:t>
      </w:r>
      <w:r>
        <w:rPr>
          <w:rFonts w:hint="eastAsia" w:ascii="仿宋_GB2312" w:hAnsi="黑体" w:eastAsia="仿宋_GB2312" w:cs="黑体"/>
          <w:sz w:val="32"/>
          <w:szCs w:val="32"/>
          <w:lang w:eastAsia="zh-CN"/>
        </w:rPr>
        <w:t>超短期融资券</w:t>
      </w:r>
      <w:r>
        <w:rPr>
          <w:rFonts w:hint="eastAsia" w:eastAsia="仿宋_GB2312"/>
          <w:snapToGrid w:val="0"/>
          <w:kern w:val="2"/>
          <w:sz w:val="32"/>
          <w:szCs w:val="32"/>
          <w:highlight w:val="none"/>
          <w:lang w:eastAsia="zh-CN" w:bidi="ar-SA"/>
        </w:rPr>
        <w:t>。</w:t>
      </w:r>
      <w:r>
        <w:rPr>
          <w:rFonts w:hint="eastAsia" w:ascii="仿宋_GB2312" w:hAnsi="黑体" w:eastAsia="仿宋_GB2312" w:cs="黑体"/>
          <w:sz w:val="32"/>
          <w:szCs w:val="32"/>
          <w:lang w:eastAsia="zh-CN"/>
        </w:rPr>
        <w:t>本次融资工具发行主要要素如下：</w:t>
      </w:r>
    </w:p>
    <w:p>
      <w:pPr>
        <w:ind w:firstLine="640" w:firstLineChars="200"/>
        <w:outlineLvl w:val="1"/>
        <w:rPr>
          <w:rFonts w:ascii="仿宋_GB2312" w:hAnsi="黑体" w:eastAsia="仿宋_GB2312" w:cs="黑体"/>
          <w:sz w:val="32"/>
          <w:szCs w:val="32"/>
          <w:lang w:eastAsia="zh-CN"/>
        </w:rPr>
      </w:pPr>
      <w:r>
        <w:rPr>
          <w:rFonts w:hint="eastAsia" w:ascii="仿宋_GB2312" w:hAnsi="黑体" w:eastAsia="仿宋_GB2312" w:cs="黑体"/>
          <w:sz w:val="32"/>
          <w:szCs w:val="32"/>
          <w:lang w:eastAsia="zh-CN"/>
        </w:rPr>
        <w:t>发 行 人：安徽省农垦集团有限公司；</w:t>
      </w:r>
    </w:p>
    <w:p>
      <w:pPr>
        <w:ind w:firstLine="640" w:firstLineChars="200"/>
        <w:outlineLvl w:val="1"/>
        <w:rPr>
          <w:rFonts w:ascii="仿宋_GB2312" w:hAnsi="黑体" w:eastAsia="仿宋_GB2312" w:cs="黑体"/>
          <w:sz w:val="32"/>
          <w:szCs w:val="32"/>
          <w:lang w:eastAsia="zh-CN"/>
        </w:rPr>
      </w:pPr>
      <w:r>
        <w:rPr>
          <w:rFonts w:hint="eastAsia" w:ascii="仿宋_GB2312" w:hAnsi="黑体" w:eastAsia="仿宋_GB2312" w:cs="黑体"/>
          <w:sz w:val="32"/>
          <w:szCs w:val="32"/>
          <w:lang w:eastAsia="zh-CN"/>
        </w:rPr>
        <w:t>申报额度：中期票据1</w:t>
      </w:r>
      <w:r>
        <w:rPr>
          <w:rFonts w:hint="eastAsia" w:ascii="仿宋_GB2312" w:hAnsi="黑体" w:eastAsia="仿宋_GB2312" w:cs="黑体"/>
          <w:sz w:val="32"/>
          <w:szCs w:val="32"/>
          <w:lang w:val="en-US" w:eastAsia="zh-CN"/>
        </w:rPr>
        <w:t>0</w:t>
      </w:r>
      <w:r>
        <w:rPr>
          <w:rFonts w:hint="eastAsia" w:ascii="仿宋_GB2312" w:hAnsi="黑体" w:eastAsia="仿宋_GB2312" w:cs="黑体"/>
          <w:sz w:val="32"/>
          <w:szCs w:val="32"/>
          <w:lang w:eastAsia="zh-CN"/>
        </w:rPr>
        <w:t>亿元（</w:t>
      </w:r>
      <w:r>
        <w:rPr>
          <w:rFonts w:hint="eastAsia" w:ascii="仿宋_GB2312" w:hAnsi="黑体" w:eastAsia="仿宋_GB2312" w:cs="黑体"/>
          <w:sz w:val="32"/>
          <w:szCs w:val="32"/>
          <w:lang w:val="en-US" w:eastAsia="zh-CN"/>
        </w:rPr>
        <w:t>分2期注册</w:t>
      </w:r>
      <w:r>
        <w:rPr>
          <w:rFonts w:hint="eastAsia" w:ascii="仿宋_GB2312" w:hAnsi="黑体" w:eastAsia="仿宋_GB2312" w:cs="黑体"/>
          <w:sz w:val="32"/>
          <w:szCs w:val="32"/>
          <w:lang w:eastAsia="zh-CN"/>
        </w:rPr>
        <w:t>），超短期融资券</w:t>
      </w:r>
      <w:r>
        <w:rPr>
          <w:rFonts w:hint="eastAsia" w:ascii="仿宋_GB2312" w:hAnsi="黑体" w:eastAsia="仿宋_GB2312" w:cs="黑体"/>
          <w:sz w:val="32"/>
          <w:szCs w:val="32"/>
          <w:lang w:val="en-US" w:eastAsia="zh-CN"/>
        </w:rPr>
        <w:t>1</w:t>
      </w:r>
      <w:r>
        <w:rPr>
          <w:rFonts w:hint="eastAsia" w:ascii="仿宋_GB2312" w:hAnsi="黑体" w:eastAsia="仿宋_GB2312" w:cs="黑体"/>
          <w:sz w:val="32"/>
          <w:szCs w:val="32"/>
          <w:lang w:eastAsia="zh-CN"/>
        </w:rPr>
        <w:t>5亿元；</w:t>
      </w:r>
    </w:p>
    <w:p>
      <w:pPr>
        <w:ind w:firstLine="640" w:firstLineChars="200"/>
        <w:outlineLvl w:val="1"/>
        <w:rPr>
          <w:rFonts w:ascii="仿宋_GB2312" w:hAnsi="黑体" w:eastAsia="仿宋_GB2312" w:cs="黑体"/>
          <w:sz w:val="32"/>
          <w:szCs w:val="32"/>
          <w:lang w:eastAsia="zh-CN"/>
        </w:rPr>
      </w:pPr>
      <w:r>
        <w:rPr>
          <w:rFonts w:hint="eastAsia" w:ascii="仿宋_GB2312" w:hAnsi="黑体" w:eastAsia="仿宋_GB2312" w:cs="黑体"/>
          <w:sz w:val="32"/>
          <w:szCs w:val="32"/>
          <w:lang w:eastAsia="zh-CN"/>
        </w:rPr>
        <w:t>期    限：中期票据不超过5年，超短期融资券不超过270天；</w:t>
      </w:r>
    </w:p>
    <w:p>
      <w:pPr>
        <w:ind w:firstLine="640" w:firstLineChars="200"/>
        <w:outlineLvl w:val="1"/>
        <w:rPr>
          <w:rFonts w:ascii="仿宋_GB2312" w:hAnsi="黑体" w:eastAsia="仿宋_GB2312" w:cs="黑体"/>
          <w:sz w:val="32"/>
          <w:szCs w:val="32"/>
          <w:lang w:eastAsia="zh-CN"/>
        </w:rPr>
      </w:pPr>
      <w:r>
        <w:rPr>
          <w:rFonts w:hint="eastAsia" w:ascii="仿宋_GB2312" w:hAnsi="黑体" w:eastAsia="仿宋_GB2312" w:cs="黑体"/>
          <w:sz w:val="32"/>
          <w:szCs w:val="32"/>
          <w:lang w:eastAsia="zh-CN"/>
        </w:rPr>
        <w:t>发行计划：由比选人根据资金需求状况，在核准有效期内一次性或分期发行；</w:t>
      </w:r>
    </w:p>
    <w:p>
      <w:pPr>
        <w:ind w:firstLine="640" w:firstLineChars="200"/>
        <w:outlineLvl w:val="1"/>
        <w:rPr>
          <w:rFonts w:ascii="仿宋_GB2312" w:hAnsi="黑体" w:eastAsia="仿宋_GB2312" w:cs="黑体"/>
          <w:sz w:val="32"/>
          <w:szCs w:val="32"/>
          <w:lang w:eastAsia="zh-CN"/>
        </w:rPr>
      </w:pPr>
      <w:r>
        <w:rPr>
          <w:rFonts w:hint="eastAsia" w:ascii="仿宋_GB2312" w:hAnsi="黑体" w:eastAsia="仿宋_GB2312" w:cs="黑体"/>
          <w:sz w:val="32"/>
          <w:szCs w:val="32"/>
          <w:lang w:eastAsia="zh-CN"/>
        </w:rPr>
        <w:t>承销方式：余额包销；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ascii="仿宋_GB2312" w:hAnsi="黑体" w:eastAsia="仿宋_GB2312" w:cs="黑体"/>
          <w:sz w:val="32"/>
          <w:szCs w:val="32"/>
          <w:highlight w:val="none"/>
          <w:lang w:eastAsia="zh-CN"/>
        </w:rPr>
      </w:pPr>
      <w:r>
        <w:rPr>
          <w:rFonts w:hint="eastAsia" w:ascii="仿宋_GB2312" w:hAnsi="黑体" w:eastAsia="仿宋_GB2312" w:cs="黑体"/>
          <w:color w:val="000000"/>
          <w:kern w:val="0"/>
          <w:sz w:val="32"/>
          <w:szCs w:val="32"/>
          <w:lang w:val="en-US" w:eastAsia="zh-CN" w:bidi="en-US"/>
        </w:rPr>
        <w:t>报价方式：年承销费率（本项目招标最高限价为：中票年化承</w:t>
      </w:r>
      <w:r>
        <w:rPr>
          <w:rFonts w:hint="eastAsia" w:ascii="仿宋_GB2312" w:hAnsi="黑体" w:eastAsia="仿宋_GB2312" w:cs="黑体"/>
          <w:color w:val="000000"/>
          <w:kern w:val="0"/>
          <w:sz w:val="32"/>
          <w:szCs w:val="32"/>
          <w:highlight w:val="none"/>
          <w:lang w:val="en-US" w:eastAsia="zh-CN" w:bidi="en-US"/>
        </w:rPr>
        <w:t>销费率</w:t>
      </w:r>
      <w:r>
        <w:rPr>
          <w:rFonts w:hint="default" w:ascii="仿宋_GB2312" w:hAnsi="黑体" w:eastAsia="仿宋_GB2312" w:cs="黑体"/>
          <w:color w:val="000000"/>
          <w:kern w:val="0"/>
          <w:sz w:val="32"/>
          <w:szCs w:val="32"/>
          <w:highlight w:val="none"/>
          <w:lang w:val="en-US" w:eastAsia="zh-CN" w:bidi="en-US"/>
        </w:rPr>
        <w:t>0.04%</w:t>
      </w:r>
      <w:r>
        <w:rPr>
          <w:rFonts w:hint="eastAsia" w:ascii="仿宋_GB2312" w:hAnsi="黑体" w:eastAsia="仿宋_GB2312" w:cs="黑体"/>
          <w:color w:val="000000"/>
          <w:kern w:val="0"/>
          <w:sz w:val="32"/>
          <w:szCs w:val="32"/>
          <w:highlight w:val="none"/>
          <w:lang w:val="en-US" w:eastAsia="zh-CN" w:bidi="en-US"/>
        </w:rPr>
        <w:t>，超短融</w:t>
      </w:r>
      <w:r>
        <w:rPr>
          <w:rFonts w:hint="eastAsia" w:ascii="仿宋_GB2312" w:hAnsi="黑体" w:eastAsia="仿宋_GB2312" w:cs="黑体"/>
          <w:color w:val="000000"/>
          <w:kern w:val="0"/>
          <w:sz w:val="32"/>
          <w:szCs w:val="32"/>
          <w:lang w:val="en-US" w:eastAsia="zh-CN" w:bidi="en-US"/>
        </w:rPr>
        <w:t>年化承</w:t>
      </w:r>
      <w:r>
        <w:rPr>
          <w:rFonts w:hint="eastAsia" w:ascii="仿宋_GB2312" w:hAnsi="黑体" w:eastAsia="仿宋_GB2312" w:cs="黑体"/>
          <w:color w:val="000000"/>
          <w:kern w:val="0"/>
          <w:sz w:val="32"/>
          <w:szCs w:val="32"/>
          <w:highlight w:val="none"/>
          <w:lang w:val="en-US" w:eastAsia="zh-CN" w:bidi="en-US"/>
        </w:rPr>
        <w:t>销费率0.1%</w:t>
      </w:r>
      <w:r>
        <w:rPr>
          <w:rFonts w:hint="eastAsia" w:ascii="仿宋_GB2312" w:hAnsi="黑体" w:eastAsia="仿宋_GB2312" w:cs="黑体"/>
          <w:sz w:val="32"/>
          <w:szCs w:val="32"/>
          <w:highlight w:val="none"/>
          <w:lang w:eastAsia="zh-CN"/>
        </w:rPr>
        <w:t>）。</w:t>
      </w:r>
    </w:p>
    <w:p>
      <w:pPr>
        <w:ind w:firstLine="640" w:firstLineChars="200"/>
        <w:jc w:val="both"/>
        <w:rPr>
          <w:rFonts w:ascii="黑体" w:hAnsi="黑体" w:eastAsia="黑体"/>
          <w:sz w:val="32"/>
          <w:szCs w:val="32"/>
          <w:highlight w:val="none"/>
          <w:lang w:eastAsia="zh-CN"/>
        </w:rPr>
      </w:pPr>
      <w:r>
        <w:rPr>
          <w:rFonts w:hint="eastAsia" w:ascii="黑体" w:hAnsi="黑体" w:eastAsia="黑体"/>
          <w:sz w:val="32"/>
          <w:szCs w:val="32"/>
          <w:highlight w:val="none"/>
          <w:lang w:eastAsia="zh-CN"/>
        </w:rPr>
        <w:t>二、比选文件要求</w:t>
      </w:r>
    </w:p>
    <w:p>
      <w:pPr>
        <w:ind w:firstLine="640" w:firstLineChars="200"/>
        <w:rPr>
          <w:rFonts w:eastAsia="仿宋_GB2312"/>
          <w:snapToGrid w:val="0"/>
          <w:sz w:val="32"/>
          <w:szCs w:val="32"/>
          <w:highlight w:val="none"/>
          <w:lang w:eastAsia="zh-CN"/>
        </w:rPr>
      </w:pPr>
      <w:r>
        <w:rPr>
          <w:rFonts w:hint="eastAsia" w:eastAsia="仿宋_GB2312"/>
          <w:snapToGrid w:val="0"/>
          <w:sz w:val="32"/>
          <w:szCs w:val="32"/>
          <w:highlight w:val="none"/>
          <w:lang w:eastAsia="zh-CN"/>
        </w:rPr>
        <w:t>1.比选申请人应详细阅读比选文件的全部内容，不按比选文件要求提供比选材料的，一律作废处理。</w:t>
      </w:r>
    </w:p>
    <w:p>
      <w:pPr>
        <w:ind w:firstLine="640" w:firstLineChars="200"/>
        <w:rPr>
          <w:rFonts w:eastAsia="仿宋_GB2312"/>
          <w:snapToGrid w:val="0"/>
          <w:sz w:val="32"/>
          <w:szCs w:val="32"/>
          <w:lang w:eastAsia="zh-CN"/>
        </w:rPr>
      </w:pPr>
      <w:r>
        <w:rPr>
          <w:rFonts w:hint="eastAsia" w:eastAsia="仿宋_GB2312"/>
          <w:snapToGrid w:val="0"/>
          <w:sz w:val="32"/>
          <w:szCs w:val="32"/>
          <w:highlight w:val="none"/>
          <w:lang w:eastAsia="zh-CN"/>
        </w:rPr>
        <w:t>2.比选材料须包括</w:t>
      </w:r>
      <w:r>
        <w:rPr>
          <w:rFonts w:hint="eastAsia" w:eastAsia="仿宋_GB2312"/>
          <w:snapToGrid w:val="0"/>
          <w:kern w:val="2"/>
          <w:sz w:val="32"/>
          <w:szCs w:val="32"/>
          <w:highlight w:val="none"/>
          <w:lang w:eastAsia="zh-CN" w:bidi="ar-SA"/>
        </w:rPr>
        <w:t>比选确认函，报价一览表，比选申请人信用承诺</w:t>
      </w:r>
      <w:r>
        <w:rPr>
          <w:rFonts w:hint="eastAsia" w:eastAsia="仿宋_GB2312"/>
          <w:snapToGrid w:val="0"/>
          <w:kern w:val="2"/>
          <w:sz w:val="32"/>
          <w:szCs w:val="32"/>
          <w:highlight w:val="none"/>
          <w:lang w:val="en-US" w:eastAsia="zh-CN" w:bidi="ar-SA"/>
        </w:rPr>
        <w:t>书</w:t>
      </w:r>
      <w:r>
        <w:rPr>
          <w:rFonts w:hint="eastAsia" w:eastAsia="仿宋_GB2312"/>
          <w:snapToGrid w:val="0"/>
          <w:kern w:val="2"/>
          <w:sz w:val="32"/>
          <w:szCs w:val="32"/>
          <w:highlight w:val="none"/>
          <w:lang w:eastAsia="zh-CN" w:bidi="ar-SA"/>
        </w:rPr>
        <w:t>，比选申请人业绩承诺函，</w:t>
      </w:r>
      <w:r>
        <w:rPr>
          <w:rFonts w:hint="eastAsia" w:eastAsia="仿宋_GB2312"/>
          <w:snapToGrid w:val="0"/>
          <w:kern w:val="2"/>
          <w:sz w:val="32"/>
          <w:szCs w:val="32"/>
          <w:highlight w:val="none"/>
          <w:lang w:val="en-US" w:eastAsia="zh-CN" w:bidi="ar-SA"/>
        </w:rPr>
        <w:t>往</w:t>
      </w:r>
      <w:r>
        <w:rPr>
          <w:rFonts w:hint="eastAsia" w:eastAsia="仿宋_GB2312"/>
          <w:snapToGrid w:val="0"/>
          <w:kern w:val="0"/>
          <w:sz w:val="32"/>
          <w:szCs w:val="32"/>
          <w:highlight w:val="none"/>
          <w:lang w:eastAsia="zh-CN" w:bidi="ar-SA"/>
        </w:rPr>
        <w:t>期</w:t>
      </w:r>
      <w:r>
        <w:rPr>
          <w:rFonts w:hint="eastAsia" w:eastAsia="仿宋_GB2312"/>
          <w:snapToGrid w:val="0"/>
          <w:kern w:val="0"/>
          <w:sz w:val="32"/>
          <w:szCs w:val="32"/>
          <w:highlight w:val="none"/>
          <w:lang w:val="en-US" w:eastAsia="zh-CN" w:bidi="ar-SA"/>
        </w:rPr>
        <w:t>投资农垦集团</w:t>
      </w:r>
      <w:r>
        <w:rPr>
          <w:rFonts w:hint="eastAsia" w:ascii="Times New Roman" w:hAnsi="Times New Roman" w:eastAsia="仿宋_GB2312" w:cs="Times New Roman"/>
          <w:snapToGrid w:val="0"/>
          <w:sz w:val="32"/>
          <w:szCs w:val="32"/>
          <w:highlight w:val="none"/>
          <w:lang w:val="en-US" w:eastAsia="zh-CN"/>
        </w:rPr>
        <w:t>发行债券的</w:t>
      </w:r>
      <w:r>
        <w:rPr>
          <w:rFonts w:hint="eastAsia" w:eastAsia="仿宋_GB2312"/>
          <w:snapToGrid w:val="0"/>
          <w:kern w:val="0"/>
          <w:sz w:val="32"/>
          <w:szCs w:val="32"/>
          <w:highlight w:val="none"/>
          <w:lang w:eastAsia="zh-CN" w:bidi="ar-SA"/>
        </w:rPr>
        <w:t>证明</w:t>
      </w:r>
      <w:r>
        <w:rPr>
          <w:rFonts w:hint="eastAsia" w:eastAsia="仿宋_GB2312"/>
          <w:snapToGrid w:val="0"/>
          <w:kern w:val="2"/>
          <w:sz w:val="32"/>
          <w:szCs w:val="32"/>
          <w:highlight w:val="none"/>
          <w:lang w:eastAsia="zh-CN" w:bidi="ar-SA"/>
        </w:rPr>
        <w:t>，承销服务方案，授权书，</w:t>
      </w:r>
      <w:r>
        <w:rPr>
          <w:rFonts w:hint="eastAsia" w:ascii="Times New Roman" w:hAnsi="Times New Roman" w:eastAsia="仿宋_GB2312" w:cs="Times New Roman"/>
          <w:snapToGrid w:val="0"/>
          <w:kern w:val="2"/>
          <w:sz w:val="32"/>
          <w:szCs w:val="32"/>
          <w:lang w:eastAsia="zh-CN" w:bidi="ar-SA"/>
        </w:rPr>
        <w:t>债券余额包销承诺函</w:t>
      </w:r>
      <w:r>
        <w:rPr>
          <w:rFonts w:hint="eastAsia" w:ascii="Times New Roman" w:hAnsi="Times New Roman" w:eastAsia="仿宋_GB2312" w:cs="Times New Roman"/>
          <w:snapToGrid w:val="0"/>
          <w:kern w:val="2"/>
          <w:sz w:val="32"/>
          <w:szCs w:val="32"/>
          <w:lang w:val="en-US" w:eastAsia="zh-CN" w:bidi="ar-SA"/>
        </w:rPr>
        <w:t>、</w:t>
      </w:r>
      <w:r>
        <w:rPr>
          <w:rFonts w:hint="eastAsia" w:ascii="Times New Roman" w:hAnsi="Times New Roman" w:eastAsia="仿宋_GB2312" w:cs="Times New Roman"/>
          <w:snapToGrid w:val="0"/>
          <w:kern w:val="2"/>
          <w:sz w:val="32"/>
          <w:szCs w:val="32"/>
          <w:lang w:eastAsia="zh-CN" w:bidi="ar-SA"/>
        </w:rPr>
        <w:t>履约保障承诺函</w:t>
      </w:r>
      <w:r>
        <w:rPr>
          <w:rFonts w:hint="eastAsia" w:eastAsia="仿宋_GB2312" w:cs="Times New Roman"/>
          <w:snapToGrid w:val="0"/>
          <w:kern w:val="2"/>
          <w:sz w:val="32"/>
          <w:szCs w:val="32"/>
          <w:lang w:val="en-US" w:eastAsia="zh-CN" w:bidi="ar-SA"/>
        </w:rPr>
        <w:t>和</w:t>
      </w:r>
      <w:r>
        <w:rPr>
          <w:rFonts w:hint="eastAsia" w:eastAsia="仿宋_GB2312"/>
          <w:snapToGrid w:val="0"/>
          <w:kern w:val="2"/>
          <w:sz w:val="32"/>
          <w:szCs w:val="32"/>
          <w:lang w:eastAsia="zh-CN" w:bidi="ar-SA"/>
        </w:rPr>
        <w:t>其他证明材料（包括营业执照、比选申请人承销资质及总公司授权书）等。</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3.比选材料均用A4纸，凡是涉及使用复印件的证明性文件，均应加盖比选申请人公章。</w:t>
      </w:r>
    </w:p>
    <w:p>
      <w:pPr>
        <w:ind w:firstLine="640" w:firstLineChars="200"/>
        <w:outlineLvl w:val="1"/>
        <w:rPr>
          <w:rFonts w:ascii="黑体" w:hAnsi="黑体" w:eastAsia="黑体" w:cs="黑体"/>
          <w:sz w:val="32"/>
          <w:szCs w:val="32"/>
          <w:lang w:eastAsia="zh-CN"/>
        </w:rPr>
      </w:pPr>
      <w:r>
        <w:rPr>
          <w:rFonts w:hint="eastAsia" w:eastAsia="仿宋_GB2312"/>
          <w:snapToGrid w:val="0"/>
          <w:sz w:val="32"/>
          <w:szCs w:val="32"/>
          <w:lang w:eastAsia="zh-CN"/>
        </w:rPr>
        <w:t>4.比选材料必须由比选申请人法定代表人或授权代表人在法定权限内签署，比选材料正本1份，副本5份，必须用不褪色的墨水填写或打印，并加盖比选申请人公章。</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5.比选人保留要求中标人另行提供其比选材料电子版的权利。</w:t>
      </w:r>
    </w:p>
    <w:p>
      <w:pPr>
        <w:ind w:firstLine="640" w:firstLineChars="200"/>
        <w:jc w:val="both"/>
        <w:rPr>
          <w:rFonts w:ascii="黑体" w:hAnsi="黑体" w:eastAsia="黑体"/>
          <w:sz w:val="32"/>
          <w:szCs w:val="32"/>
          <w:lang w:eastAsia="zh-CN"/>
        </w:rPr>
      </w:pPr>
      <w:r>
        <w:rPr>
          <w:rFonts w:hint="eastAsia" w:ascii="黑体" w:hAnsi="黑体" w:eastAsia="黑体"/>
          <w:sz w:val="32"/>
          <w:szCs w:val="32"/>
          <w:lang w:eastAsia="zh-CN"/>
        </w:rPr>
        <w:t>三、承销商服务内容包括但不限于以下方面</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1.制定详细的承销服务方案，并在比选材料中列示，如人员与工作安排、销售与推广力等。</w:t>
      </w:r>
    </w:p>
    <w:p>
      <w:pPr>
        <w:ind w:firstLine="640" w:firstLineChars="200"/>
        <w:rPr>
          <w:rFonts w:eastAsia="仿宋_GB2312"/>
          <w:snapToGrid w:val="0"/>
          <w:sz w:val="32"/>
          <w:szCs w:val="32"/>
          <w:highlight w:val="none"/>
          <w:lang w:eastAsia="zh-CN"/>
        </w:rPr>
      </w:pPr>
      <w:r>
        <w:rPr>
          <w:rFonts w:hint="eastAsia" w:eastAsia="仿宋_GB2312"/>
          <w:snapToGrid w:val="0"/>
          <w:sz w:val="32"/>
          <w:szCs w:val="32"/>
          <w:lang w:eastAsia="zh-CN"/>
        </w:rPr>
        <w:t>2.申报材料准备，中期票据、超短融项目均由</w:t>
      </w:r>
      <w:r>
        <w:rPr>
          <w:rFonts w:hint="eastAsia" w:eastAsia="仿宋_GB2312"/>
          <w:snapToGrid w:val="0"/>
          <w:sz w:val="32"/>
          <w:szCs w:val="32"/>
          <w:highlight w:val="none"/>
          <w:lang w:eastAsia="zh-CN"/>
        </w:rPr>
        <w:t>牵头主承销商做好注册工作申报文件，统筹安排其他各中介机构完成其申报文件的制作，并发表核查意见，按照监管要求提交注册发行相关文件及材料。</w:t>
      </w:r>
    </w:p>
    <w:p>
      <w:pPr>
        <w:ind w:firstLine="640" w:firstLineChars="200"/>
        <w:rPr>
          <w:rFonts w:eastAsia="仿宋_GB2312"/>
          <w:snapToGrid w:val="0"/>
          <w:sz w:val="32"/>
          <w:szCs w:val="32"/>
          <w:highlight w:val="none"/>
          <w:lang w:eastAsia="zh-CN"/>
        </w:rPr>
      </w:pPr>
      <w:r>
        <w:rPr>
          <w:rFonts w:hint="eastAsia" w:eastAsia="仿宋_GB2312"/>
          <w:snapToGrid w:val="0"/>
          <w:sz w:val="32"/>
          <w:szCs w:val="32"/>
          <w:highlight w:val="none"/>
          <w:lang w:eastAsia="zh-CN"/>
        </w:rPr>
        <w:t>3.牵头主承销商负责协调相关中介机构，按方案确定的时间完成评级、尽职调查和申请材料的编制等相关工作，联席主承销商全力配合。</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4.牵头主承销商负责</w:t>
      </w:r>
      <w:r>
        <w:rPr>
          <w:rFonts w:hint="eastAsia" w:eastAsia="仿宋_GB2312"/>
          <w:snapToGrid w:val="0"/>
          <w:sz w:val="32"/>
          <w:szCs w:val="32"/>
          <w:highlight w:val="none"/>
          <w:lang w:eastAsia="zh-CN"/>
        </w:rPr>
        <w:t>上报</w:t>
      </w:r>
      <w:r>
        <w:rPr>
          <w:rFonts w:hint="eastAsia" w:eastAsia="仿宋_GB2312"/>
          <w:snapToGrid w:val="0"/>
          <w:sz w:val="32"/>
          <w:szCs w:val="32"/>
          <w:lang w:eastAsia="zh-CN"/>
        </w:rPr>
        <w:t>银行间市场交易商协会，负责与交易商协会沟通，完成反馈意见，在合同签订后约定的时间内完成中期票据或超短融报批工作，获得《注册通知书》，并根据相关规定与发行人要求，在</w:t>
      </w:r>
      <w:r>
        <w:rPr>
          <w:rFonts w:hint="eastAsia" w:eastAsia="仿宋_GB2312"/>
          <w:snapToGrid w:val="0"/>
          <w:sz w:val="32"/>
          <w:szCs w:val="32"/>
          <w:highlight w:val="none"/>
          <w:lang w:eastAsia="zh-CN"/>
        </w:rPr>
        <w:t>债</w:t>
      </w:r>
      <w:r>
        <w:rPr>
          <w:rFonts w:hint="eastAsia" w:eastAsia="仿宋_GB2312"/>
          <w:snapToGrid w:val="0"/>
          <w:sz w:val="32"/>
          <w:szCs w:val="32"/>
          <w:highlight w:val="none"/>
          <w:lang w:val="en-US" w:eastAsia="zh-CN"/>
        </w:rPr>
        <w:t>券</w:t>
      </w:r>
      <w:r>
        <w:rPr>
          <w:rFonts w:hint="eastAsia" w:eastAsia="仿宋_GB2312"/>
          <w:snapToGrid w:val="0"/>
          <w:sz w:val="32"/>
          <w:szCs w:val="32"/>
          <w:lang w:eastAsia="zh-CN"/>
        </w:rPr>
        <w:t>成功注册后，确保募集资金在正式发行后的30个工作日内到账，联席主承销商全力配合。</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5.根据市场情况建议发行窗口、利率区间和期限等，进行簿记建档并办理中期票据、超短期融资券存续期内的资金结算、</w:t>
      </w:r>
      <w:r>
        <w:rPr>
          <w:rFonts w:hint="eastAsia" w:eastAsia="仿宋_GB2312"/>
          <w:snapToGrid w:val="0"/>
          <w:sz w:val="32"/>
          <w:szCs w:val="32"/>
          <w:highlight w:val="none"/>
          <w:lang w:val="en-US" w:eastAsia="zh-CN"/>
        </w:rPr>
        <w:t>利</w:t>
      </w:r>
      <w:r>
        <w:rPr>
          <w:rFonts w:hint="eastAsia" w:eastAsia="仿宋_GB2312"/>
          <w:snapToGrid w:val="0"/>
          <w:sz w:val="32"/>
          <w:szCs w:val="32"/>
          <w:highlight w:val="none"/>
          <w:lang w:eastAsia="zh-CN"/>
        </w:rPr>
        <w:t>息兑付</w:t>
      </w:r>
      <w:r>
        <w:rPr>
          <w:rFonts w:hint="eastAsia" w:eastAsia="仿宋_GB2312"/>
          <w:snapToGrid w:val="0"/>
          <w:sz w:val="32"/>
          <w:szCs w:val="32"/>
          <w:lang w:eastAsia="zh-CN"/>
        </w:rPr>
        <w:t>和定期信息披露等相关事宜。</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6.按照承销协议及补充协议（如有）相关条款的约定，对本次注册额度内承销的债务融资工具按照余额包销方式进行承销，承担余额包销责任及相应的发行风险。</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7.比选申请人可根据自身业务、能力、优势提出其他优惠服务（包括授信和其他融资安排等内容），并将其纳入本次评标时考虑的因素。</w:t>
      </w:r>
    </w:p>
    <w:p>
      <w:pPr>
        <w:ind w:firstLine="640" w:firstLineChars="200"/>
        <w:jc w:val="both"/>
        <w:rPr>
          <w:rFonts w:ascii="黑体" w:hAnsi="黑体" w:eastAsia="黑体"/>
          <w:sz w:val="32"/>
          <w:szCs w:val="32"/>
          <w:lang w:eastAsia="zh-CN"/>
        </w:rPr>
      </w:pPr>
      <w:bookmarkStart w:id="0" w:name="_Toc945"/>
      <w:r>
        <w:rPr>
          <w:rFonts w:hint="eastAsia" w:ascii="黑体" w:hAnsi="黑体" w:eastAsia="黑体"/>
          <w:sz w:val="32"/>
          <w:szCs w:val="32"/>
          <w:lang w:eastAsia="zh-CN"/>
        </w:rPr>
        <w:t>四、比选报价</w:t>
      </w:r>
      <w:bookmarkEnd w:id="0"/>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（一）报价要求</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比选申请人报价采用包干制，以费率报价，报价中小数点后不超过两位，且所报费率不得超过协会指导费率。</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（二）报价范围</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承销费用须包括但不限于参加本项目所有人员的人工费、办公费、项目启动和撤离费、人员调动和安置费、住宿费和交通费、单位管理费、利润、法定税收等相关必要费用。比选申请人须自行负责本次应选所发生的一切费用。</w:t>
      </w:r>
    </w:p>
    <w:p>
      <w:pPr>
        <w:ind w:firstLine="640" w:firstLineChars="200"/>
        <w:jc w:val="both"/>
        <w:rPr>
          <w:rFonts w:ascii="黑体" w:hAnsi="黑体" w:eastAsia="黑体"/>
          <w:sz w:val="32"/>
          <w:szCs w:val="32"/>
          <w:lang w:eastAsia="zh-CN"/>
        </w:rPr>
      </w:pPr>
      <w:r>
        <w:rPr>
          <w:rFonts w:hint="eastAsia" w:ascii="黑体" w:hAnsi="黑体" w:eastAsia="黑体"/>
          <w:sz w:val="32"/>
          <w:szCs w:val="32"/>
          <w:lang w:eastAsia="zh-CN"/>
        </w:rPr>
        <w:t>五、比选办法</w:t>
      </w:r>
    </w:p>
    <w:p>
      <w:pPr>
        <w:ind w:firstLine="640" w:firstLineChars="200"/>
        <w:jc w:val="both"/>
        <w:rPr>
          <w:rFonts w:eastAsia="仿宋_GB2312"/>
          <w:snapToGrid w:val="0"/>
          <w:sz w:val="32"/>
          <w:szCs w:val="32"/>
          <w:lang w:eastAsia="zh-CN"/>
        </w:rPr>
      </w:pPr>
      <w:r>
        <w:rPr>
          <w:rFonts w:hint="eastAsia" w:eastAsia="仿宋_GB2312"/>
          <w:snapToGrid w:val="0"/>
          <w:sz w:val="32"/>
          <w:szCs w:val="32"/>
          <w:lang w:eastAsia="zh-CN"/>
        </w:rPr>
        <w:t>1.为保证安徽省农垦集团有限公司202</w:t>
      </w:r>
      <w:r>
        <w:rPr>
          <w:rFonts w:hint="eastAsia" w:eastAsia="仿宋_GB2312"/>
          <w:snapToGrid w:val="0"/>
          <w:sz w:val="32"/>
          <w:szCs w:val="32"/>
          <w:lang w:val="en-US" w:eastAsia="zh-CN"/>
        </w:rPr>
        <w:t>2</w:t>
      </w:r>
      <w:r>
        <w:rPr>
          <w:rFonts w:hint="eastAsia" w:eastAsia="仿宋_GB2312"/>
          <w:snapToGrid w:val="0"/>
          <w:sz w:val="32"/>
          <w:szCs w:val="32"/>
          <w:lang w:eastAsia="zh-CN"/>
        </w:rPr>
        <w:t>年中期票据</w:t>
      </w:r>
      <w:r>
        <w:rPr>
          <w:rFonts w:eastAsia="仿宋_GB2312"/>
          <w:snapToGrid w:val="0"/>
          <w:sz w:val="32"/>
          <w:szCs w:val="32"/>
          <w:lang w:eastAsia="zh-CN"/>
        </w:rPr>
        <w:t>、超短期融资券</w:t>
      </w:r>
      <w:r>
        <w:rPr>
          <w:rFonts w:hint="eastAsia" w:eastAsia="仿宋_GB2312"/>
          <w:snapToGrid w:val="0"/>
          <w:sz w:val="32"/>
          <w:szCs w:val="32"/>
          <w:lang w:eastAsia="zh-CN"/>
        </w:rPr>
        <w:t>承销金融机构比选项目评审工作的正常有序进行，维护比选人、比选申请人的合法权益，依据相关法律法规，本着公开、公平、公正的原则，制定评标办法。</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2.本次项目评标采用综合评分法作为对比选申请人比选材料的</w:t>
      </w:r>
      <w:r>
        <w:rPr>
          <w:rFonts w:hint="eastAsia" w:eastAsia="仿宋_GB2312"/>
          <w:snapToGrid w:val="0"/>
          <w:sz w:val="32"/>
          <w:szCs w:val="32"/>
          <w:highlight w:val="none"/>
          <w:lang w:val="en-US" w:eastAsia="zh-CN"/>
        </w:rPr>
        <w:t>评分</w:t>
      </w:r>
      <w:r>
        <w:rPr>
          <w:rFonts w:hint="eastAsia" w:eastAsia="仿宋_GB2312"/>
          <w:snapToGrid w:val="0"/>
          <w:sz w:val="32"/>
          <w:szCs w:val="32"/>
          <w:highlight w:val="none"/>
          <w:lang w:eastAsia="zh-CN"/>
        </w:rPr>
        <w:t>方法</w:t>
      </w:r>
      <w:r>
        <w:rPr>
          <w:rFonts w:hint="eastAsia" w:eastAsia="仿宋_GB2312"/>
          <w:snapToGrid w:val="0"/>
          <w:sz w:val="32"/>
          <w:szCs w:val="32"/>
          <w:lang w:eastAsia="zh-CN"/>
        </w:rPr>
        <w:t>。</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3.本项目将依法组建不少于5人的评标委员会，负责本项目的评标工作。</w:t>
      </w:r>
    </w:p>
    <w:p>
      <w:pPr>
        <w:ind w:firstLine="640" w:firstLineChars="200"/>
        <w:jc w:val="both"/>
        <w:rPr>
          <w:rFonts w:eastAsia="仿宋_GB2312"/>
          <w:snapToGrid w:val="0"/>
          <w:sz w:val="32"/>
          <w:szCs w:val="32"/>
          <w:lang w:eastAsia="zh-CN"/>
        </w:rPr>
      </w:pPr>
      <w:r>
        <w:rPr>
          <w:rFonts w:hint="eastAsia" w:eastAsia="仿宋_GB2312"/>
          <w:snapToGrid w:val="0"/>
          <w:sz w:val="32"/>
          <w:szCs w:val="32"/>
          <w:lang w:eastAsia="zh-CN"/>
        </w:rPr>
        <w:t>4.评标委员主要依据评分规则</w:t>
      </w:r>
      <w:r>
        <w:rPr>
          <w:rFonts w:eastAsia="仿宋_GB2312"/>
          <w:snapToGrid w:val="0"/>
          <w:sz w:val="32"/>
          <w:szCs w:val="32"/>
          <w:lang w:eastAsia="zh-CN"/>
        </w:rPr>
        <w:t>（</w:t>
      </w:r>
      <w:r>
        <w:rPr>
          <w:rFonts w:hint="eastAsia" w:eastAsia="仿宋_GB2312"/>
          <w:snapToGrid w:val="0"/>
          <w:sz w:val="32"/>
          <w:szCs w:val="32"/>
          <w:lang w:eastAsia="zh-CN"/>
        </w:rPr>
        <w:t>见附表</w:t>
      </w:r>
      <w:r>
        <w:rPr>
          <w:rFonts w:eastAsia="仿宋_GB2312"/>
          <w:snapToGrid w:val="0"/>
          <w:sz w:val="32"/>
          <w:szCs w:val="32"/>
          <w:lang w:eastAsia="zh-CN"/>
        </w:rPr>
        <w:t>）</w:t>
      </w:r>
      <w:r>
        <w:rPr>
          <w:rFonts w:hint="eastAsia" w:eastAsia="仿宋_GB2312"/>
          <w:snapToGrid w:val="0"/>
          <w:sz w:val="32"/>
          <w:szCs w:val="32"/>
          <w:highlight w:val="none"/>
          <w:lang w:val="en-US" w:eastAsia="zh-CN"/>
        </w:rPr>
        <w:t>从</w:t>
      </w:r>
      <w:r>
        <w:rPr>
          <w:rFonts w:hint="eastAsia" w:eastAsia="仿宋_GB2312"/>
          <w:snapToGrid w:val="0"/>
          <w:sz w:val="32"/>
          <w:szCs w:val="32"/>
          <w:lang w:eastAsia="zh-CN"/>
        </w:rPr>
        <w:t>债券发行能力、服务方案及团队、费用报价、与我司合作情况等方面进行评分，确认各参选机构得分及排名。</w:t>
      </w:r>
      <w:r>
        <w:rPr>
          <w:rFonts w:hint="eastAsia" w:eastAsia="仿宋_GB2312"/>
          <w:snapToGrid w:val="0"/>
          <w:sz w:val="32"/>
          <w:szCs w:val="32"/>
          <w:lang w:val="en-US" w:eastAsia="zh-CN"/>
        </w:rPr>
        <w:t>在</w:t>
      </w:r>
      <w:r>
        <w:rPr>
          <w:rFonts w:hint="eastAsia" w:eastAsia="仿宋_GB2312"/>
          <w:snapToGrid w:val="0"/>
          <w:sz w:val="32"/>
          <w:szCs w:val="32"/>
          <w:lang w:eastAsia="zh-CN"/>
        </w:rPr>
        <w:t>中期票据响应人中</w:t>
      </w:r>
      <w:r>
        <w:rPr>
          <w:rFonts w:hint="eastAsia" w:eastAsia="仿宋_GB2312"/>
          <w:snapToGrid w:val="0"/>
          <w:sz w:val="32"/>
          <w:szCs w:val="32"/>
          <w:lang w:val="en-US" w:eastAsia="zh-CN"/>
        </w:rPr>
        <w:t>推荐四名中标获选人组成</w:t>
      </w:r>
      <w:r>
        <w:rPr>
          <w:rFonts w:hint="eastAsia" w:ascii="Times New Roman" w:hAnsi="Times New Roman" w:eastAsia="仿宋_GB2312" w:cs="Times New Roman"/>
          <w:snapToGrid w:val="0"/>
          <w:sz w:val="32"/>
          <w:szCs w:val="32"/>
          <w:lang w:eastAsia="zh-CN"/>
        </w:rPr>
        <w:t>候选承销</w:t>
      </w:r>
      <w:r>
        <w:rPr>
          <w:rFonts w:hint="eastAsia" w:eastAsia="仿宋_GB2312" w:cs="Times New Roman"/>
          <w:snapToGrid w:val="0"/>
          <w:sz w:val="32"/>
          <w:szCs w:val="32"/>
          <w:lang w:val="en-US" w:eastAsia="zh-CN"/>
        </w:rPr>
        <w:t>团</w:t>
      </w:r>
      <w:r>
        <w:rPr>
          <w:rFonts w:hint="eastAsia" w:eastAsia="仿宋_GB2312"/>
          <w:snapToGrid w:val="0"/>
          <w:sz w:val="32"/>
          <w:szCs w:val="32"/>
          <w:lang w:val="en-US" w:eastAsia="zh-CN"/>
        </w:rPr>
        <w:t>，</w:t>
      </w:r>
      <w:r>
        <w:rPr>
          <w:rFonts w:hint="eastAsia" w:eastAsia="仿宋_GB2312"/>
          <w:snapToGrid w:val="0"/>
          <w:sz w:val="32"/>
          <w:szCs w:val="32"/>
          <w:lang w:eastAsia="zh-CN"/>
        </w:rPr>
        <w:t>在超短融响应人中</w:t>
      </w:r>
      <w:r>
        <w:rPr>
          <w:rFonts w:hint="eastAsia" w:eastAsia="仿宋_GB2312"/>
          <w:snapToGrid w:val="0"/>
          <w:sz w:val="32"/>
          <w:szCs w:val="32"/>
          <w:lang w:val="en-US" w:eastAsia="zh-CN"/>
        </w:rPr>
        <w:t>推荐六</w:t>
      </w:r>
      <w:r>
        <w:rPr>
          <w:rFonts w:hint="eastAsia" w:eastAsia="仿宋_GB2312"/>
          <w:snapToGrid w:val="0"/>
          <w:sz w:val="32"/>
          <w:szCs w:val="32"/>
          <w:lang w:eastAsia="zh-CN"/>
        </w:rPr>
        <w:t>名</w:t>
      </w:r>
      <w:r>
        <w:rPr>
          <w:rFonts w:hint="eastAsia" w:eastAsia="仿宋_GB2312"/>
          <w:snapToGrid w:val="0"/>
          <w:sz w:val="32"/>
          <w:szCs w:val="32"/>
          <w:lang w:val="en-US" w:eastAsia="zh-CN"/>
        </w:rPr>
        <w:t>中标获选人组成</w:t>
      </w:r>
      <w:r>
        <w:rPr>
          <w:rFonts w:hint="eastAsia" w:eastAsia="仿宋_GB2312"/>
          <w:snapToGrid w:val="0"/>
          <w:sz w:val="32"/>
          <w:szCs w:val="32"/>
          <w:lang w:eastAsia="zh-CN"/>
        </w:rPr>
        <w:t>联席承销</w:t>
      </w:r>
      <w:r>
        <w:rPr>
          <w:rFonts w:hint="eastAsia" w:eastAsia="仿宋_GB2312"/>
          <w:snapToGrid w:val="0"/>
          <w:sz w:val="32"/>
          <w:szCs w:val="32"/>
          <w:lang w:val="en-US" w:eastAsia="zh-CN"/>
        </w:rPr>
        <w:t>团</w:t>
      </w:r>
      <w:r>
        <w:rPr>
          <w:rFonts w:hint="eastAsia" w:eastAsia="仿宋_GB2312"/>
          <w:snapToGrid w:val="0"/>
          <w:sz w:val="32"/>
          <w:szCs w:val="32"/>
          <w:lang w:eastAsia="zh-CN"/>
        </w:rPr>
        <w:t>。</w:t>
      </w:r>
    </w:p>
    <w:p>
      <w:pPr>
        <w:adjustRightInd/>
        <w:snapToGrid/>
        <w:spacing w:line="240" w:lineRule="auto"/>
        <w:ind w:firstLine="640" w:firstLineChars="200"/>
        <w:jc w:val="both"/>
        <w:rPr>
          <w:rFonts w:hint="eastAsia" w:ascii="Times New Roman" w:hAnsi="Times New Roman" w:eastAsia="仿宋_GB2312" w:cs="Times New Roman"/>
          <w:snapToGrid w:val="0"/>
          <w:sz w:val="32"/>
          <w:szCs w:val="32"/>
          <w:lang w:eastAsia="zh-CN"/>
        </w:rPr>
      </w:pPr>
      <w:r>
        <w:rPr>
          <w:rFonts w:hint="eastAsia" w:ascii="Times New Roman" w:hAnsi="Times New Roman" w:eastAsia="仿宋_GB2312" w:cs="Times New Roman"/>
          <w:snapToGrid w:val="0"/>
          <w:sz w:val="32"/>
          <w:szCs w:val="32"/>
          <w:lang w:eastAsia="zh-CN"/>
        </w:rPr>
        <w:t>后续</w:t>
      </w:r>
      <w:r>
        <w:rPr>
          <w:rFonts w:hint="eastAsia" w:ascii="Times New Roman" w:hAnsi="Times New Roman" w:eastAsia="仿宋_GB2312" w:cs="Times New Roman"/>
          <w:snapToGrid w:val="0"/>
          <w:sz w:val="32"/>
          <w:szCs w:val="32"/>
          <w:lang w:val="en-US" w:eastAsia="zh-CN"/>
        </w:rPr>
        <w:t>安徽农垦将</w:t>
      </w:r>
      <w:r>
        <w:rPr>
          <w:rFonts w:hint="eastAsia" w:ascii="Times New Roman" w:hAnsi="Times New Roman" w:eastAsia="仿宋_GB2312" w:cs="Times New Roman"/>
          <w:snapToGrid w:val="0"/>
          <w:sz w:val="32"/>
          <w:szCs w:val="32"/>
          <w:lang w:eastAsia="zh-CN"/>
        </w:rPr>
        <w:t>从</w:t>
      </w:r>
      <w:r>
        <w:rPr>
          <w:rFonts w:hint="eastAsia" w:ascii="Times New Roman" w:hAnsi="Times New Roman" w:eastAsia="仿宋_GB2312" w:cs="Times New Roman"/>
          <w:snapToGrid w:val="0"/>
          <w:sz w:val="32"/>
          <w:szCs w:val="32"/>
          <w:lang w:val="en-US" w:eastAsia="zh-CN"/>
        </w:rPr>
        <w:t>承销团</w:t>
      </w:r>
      <w:r>
        <w:rPr>
          <w:rFonts w:hint="eastAsia" w:ascii="Times New Roman" w:hAnsi="Times New Roman" w:eastAsia="仿宋_GB2312" w:cs="Times New Roman"/>
          <w:snapToGrid w:val="0"/>
          <w:sz w:val="32"/>
          <w:szCs w:val="32"/>
          <w:lang w:eastAsia="zh-CN"/>
        </w:rPr>
        <w:t>中选取</w:t>
      </w:r>
      <w:r>
        <w:rPr>
          <w:rFonts w:hint="eastAsia" w:eastAsia="仿宋_GB2312"/>
          <w:snapToGrid w:val="0"/>
          <w:sz w:val="32"/>
          <w:szCs w:val="32"/>
          <w:highlight w:val="none"/>
          <w:lang w:eastAsia="zh-CN"/>
        </w:rPr>
        <w:t>牵头主承销商、</w:t>
      </w:r>
      <w:r>
        <w:rPr>
          <w:rFonts w:hint="eastAsia" w:ascii="Times New Roman" w:hAnsi="Times New Roman" w:eastAsia="仿宋_GB2312" w:cs="Times New Roman"/>
          <w:snapToGrid w:val="0"/>
          <w:sz w:val="32"/>
          <w:szCs w:val="32"/>
          <w:lang w:eastAsia="zh-CN"/>
        </w:rPr>
        <w:t>主承销商和联席主承销商。</w:t>
      </w:r>
    </w:p>
    <w:p>
      <w:pPr>
        <w:ind w:firstLine="640" w:firstLineChars="200"/>
        <w:jc w:val="both"/>
        <w:rPr>
          <w:rFonts w:eastAsia="仿宋_GB2312"/>
          <w:snapToGrid w:val="0"/>
          <w:sz w:val="32"/>
          <w:szCs w:val="32"/>
          <w:lang w:eastAsia="zh-CN"/>
        </w:rPr>
      </w:pPr>
      <w:r>
        <w:rPr>
          <w:rFonts w:hint="eastAsia" w:eastAsia="仿宋_GB2312"/>
          <w:snapToGrid w:val="0"/>
          <w:sz w:val="32"/>
          <w:szCs w:val="32"/>
          <w:lang w:eastAsia="zh-CN"/>
        </w:rPr>
        <w:t>如存在中标候选人放弃中标、因不可抗力不能履行合同</w:t>
      </w:r>
      <w:r>
        <w:rPr>
          <w:rFonts w:hint="eastAsia" w:eastAsia="仿宋_GB2312"/>
          <w:snapToGrid w:val="0"/>
          <w:sz w:val="32"/>
          <w:szCs w:val="32"/>
          <w:highlight w:val="none"/>
          <w:lang w:eastAsia="zh-CN"/>
        </w:rPr>
        <w:t>、</w:t>
      </w:r>
      <w:r>
        <w:rPr>
          <w:rFonts w:hint="eastAsia" w:eastAsia="仿宋_GB2312"/>
          <w:snapToGrid w:val="0"/>
          <w:sz w:val="32"/>
          <w:szCs w:val="32"/>
          <w:lang w:eastAsia="zh-CN"/>
        </w:rPr>
        <w:t>或者被查实存在影响中标结果的违法行为等情形，不符合中标条件的，比选人可以按照评标委员会</w:t>
      </w:r>
      <w:r>
        <w:rPr>
          <w:rFonts w:hint="eastAsia" w:eastAsia="仿宋_GB2312"/>
          <w:snapToGrid w:val="0"/>
          <w:sz w:val="32"/>
          <w:szCs w:val="32"/>
          <w:highlight w:val="none"/>
          <w:lang w:val="en-US" w:eastAsia="zh-CN"/>
        </w:rPr>
        <w:t>提交</w:t>
      </w:r>
      <w:r>
        <w:rPr>
          <w:rFonts w:hint="eastAsia" w:eastAsia="仿宋_GB2312"/>
          <w:snapToGrid w:val="0"/>
          <w:sz w:val="32"/>
          <w:szCs w:val="32"/>
          <w:highlight w:val="none"/>
          <w:lang w:eastAsia="zh-CN"/>
        </w:rPr>
        <w:t>的中标候选人名单</w:t>
      </w:r>
      <w:r>
        <w:rPr>
          <w:rFonts w:hint="eastAsia" w:eastAsia="仿宋_GB2312"/>
          <w:snapToGrid w:val="0"/>
          <w:sz w:val="32"/>
          <w:szCs w:val="32"/>
          <w:lang w:eastAsia="zh-CN"/>
        </w:rPr>
        <w:t>排序确定中标候选人为中标人，也可以重新比选。</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5.比选人将以中标通知书形式通知中标人，其比选申请已被接受。</w:t>
      </w:r>
    </w:p>
    <w:p>
      <w:pPr>
        <w:ind w:firstLine="640" w:firstLineChars="200"/>
        <w:jc w:val="both"/>
        <w:rPr>
          <w:rFonts w:eastAsia="仿宋_GB2312"/>
          <w:snapToGrid w:val="0"/>
          <w:sz w:val="32"/>
          <w:szCs w:val="32"/>
          <w:lang w:eastAsia="zh-CN"/>
        </w:rPr>
      </w:pPr>
      <w:r>
        <w:rPr>
          <w:rFonts w:hint="eastAsia" w:eastAsia="仿宋_GB2312"/>
          <w:snapToGrid w:val="0"/>
          <w:sz w:val="32"/>
          <w:szCs w:val="32"/>
          <w:lang w:eastAsia="zh-CN"/>
        </w:rPr>
        <w:t>6.比选人对未中标的比选申请人不做未中标原因的解释。</w:t>
      </w:r>
    </w:p>
    <w:p>
      <w:pPr>
        <w:ind w:firstLine="640" w:firstLineChars="200"/>
        <w:jc w:val="both"/>
        <w:rPr>
          <w:rFonts w:eastAsia="仿宋_GB2312"/>
          <w:snapToGrid w:val="0"/>
          <w:sz w:val="32"/>
          <w:szCs w:val="32"/>
          <w:lang w:eastAsia="zh-CN"/>
        </w:rPr>
      </w:pPr>
      <w:r>
        <w:rPr>
          <w:rFonts w:hint="eastAsia" w:eastAsia="仿宋_GB2312"/>
          <w:snapToGrid w:val="0"/>
          <w:sz w:val="32"/>
          <w:szCs w:val="32"/>
          <w:lang w:eastAsia="zh-CN"/>
        </w:rPr>
        <w:t>7.中标人应在中标通知书发出之日起三十日内（具体时间、地点见中标通知书）与比选人签订合同。比选文件、中标人的比选材料及澄清文件等，均作为合同的附件。</w:t>
      </w:r>
    </w:p>
    <w:p>
      <w:pPr>
        <w:ind w:firstLine="640" w:firstLineChars="200"/>
        <w:rPr>
          <w:rFonts w:eastAsia="仿宋_GB2312"/>
          <w:snapToGrid w:val="0"/>
          <w:sz w:val="32"/>
          <w:szCs w:val="32"/>
          <w:lang w:eastAsia="zh-CN"/>
        </w:rPr>
      </w:pPr>
      <w:r>
        <w:rPr>
          <w:rFonts w:hint="eastAsia" w:eastAsia="仿宋_GB2312"/>
          <w:snapToGrid w:val="0"/>
          <w:sz w:val="32"/>
          <w:szCs w:val="32"/>
          <w:lang w:eastAsia="zh-CN"/>
        </w:rPr>
        <w:t>8.比选人保留以书面形式要求合同的卖方对其所提供服务的方式、地点及服务细则等作适当调整的权利。</w:t>
      </w:r>
    </w:p>
    <w:p>
      <w:pPr>
        <w:ind w:firstLine="640" w:firstLineChars="200"/>
        <w:jc w:val="both"/>
        <w:rPr>
          <w:rFonts w:ascii="黑体" w:hAnsi="黑体" w:eastAsia="黑体"/>
          <w:sz w:val="32"/>
          <w:szCs w:val="32"/>
          <w:lang w:eastAsia="zh-CN"/>
        </w:rPr>
      </w:pPr>
      <w:bookmarkStart w:id="1" w:name="_Toc16687"/>
      <w:r>
        <w:rPr>
          <w:rFonts w:hint="eastAsia" w:ascii="黑体" w:hAnsi="黑体" w:eastAsia="黑体"/>
          <w:sz w:val="32"/>
          <w:szCs w:val="32"/>
          <w:lang w:eastAsia="zh-CN"/>
        </w:rPr>
        <w:t>六、中期票据评分</w:t>
      </w:r>
      <w:bookmarkEnd w:id="1"/>
      <w:r>
        <w:rPr>
          <w:rFonts w:hint="eastAsia" w:ascii="黑体" w:hAnsi="黑体" w:eastAsia="黑体"/>
          <w:sz w:val="32"/>
          <w:szCs w:val="32"/>
          <w:lang w:eastAsia="zh-CN"/>
        </w:rPr>
        <w:t>表</w:t>
      </w:r>
    </w:p>
    <w:tbl>
      <w:tblPr>
        <w:tblStyle w:val="11"/>
        <w:tblW w:w="8679" w:type="dxa"/>
        <w:jc w:val="center"/>
        <w:tblInd w:w="0" w:type="dxa"/>
        <w:tblLayout w:type="fixed"/>
        <w:tblCellMar>
          <w:top w:w="0" w:type="dxa"/>
          <w:left w:w="108" w:type="dxa"/>
          <w:bottom w:w="0" w:type="dxa"/>
          <w:right w:w="108" w:type="dxa"/>
        </w:tblCellMar>
      </w:tblPr>
      <w:tblGrid>
        <w:gridCol w:w="744"/>
        <w:gridCol w:w="1144"/>
        <w:gridCol w:w="5862"/>
        <w:gridCol w:w="929"/>
      </w:tblGrid>
      <w:tr>
        <w:tblPrEx>
          <w:tblLayout w:type="fixed"/>
          <w:tblCellMar>
            <w:top w:w="0" w:type="dxa"/>
            <w:left w:w="108" w:type="dxa"/>
            <w:bottom w:w="0" w:type="dxa"/>
            <w:right w:w="108" w:type="dxa"/>
          </w:tblCellMar>
        </w:tblPrEx>
        <w:trPr>
          <w:trHeight w:val="551"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序号</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指标</w:t>
            </w: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指标描述</w:t>
            </w:r>
          </w:p>
        </w:tc>
        <w:tc>
          <w:tcPr>
            <w:tcW w:w="9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分值</w:t>
            </w:r>
          </w:p>
        </w:tc>
      </w:tr>
      <w:tr>
        <w:tblPrEx>
          <w:tblLayout w:type="fixed"/>
          <w:tblCellMar>
            <w:top w:w="0" w:type="dxa"/>
            <w:left w:w="108" w:type="dxa"/>
            <w:bottom w:w="0" w:type="dxa"/>
            <w:right w:w="108" w:type="dxa"/>
          </w:tblCellMar>
        </w:tblPrEx>
        <w:trPr>
          <w:trHeight w:val="2630" w:hRule="atLeast"/>
          <w:jc w:val="center"/>
        </w:trPr>
        <w:tc>
          <w:tcPr>
            <w:tcW w:w="744"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1</w:t>
            </w:r>
          </w:p>
        </w:tc>
        <w:tc>
          <w:tcPr>
            <w:tcW w:w="1144" w:type="dxa"/>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lang w:val="en-US" w:eastAsia="zh-CN"/>
              </w:rPr>
              <w:t>比选人基本情况</w:t>
            </w:r>
          </w:p>
        </w:tc>
        <w:tc>
          <w:tcPr>
            <w:tcW w:w="5862" w:type="dxa"/>
            <w:tcBorders>
              <w:top w:val="nil"/>
              <w:left w:val="nil"/>
              <w:bottom w:val="single" w:color="auto" w:sz="4" w:space="0"/>
              <w:right w:val="single" w:color="auto" w:sz="4" w:space="0"/>
            </w:tcBorders>
            <w:shd w:val="clear" w:color="auto" w:fill="auto"/>
            <w:vAlign w:val="center"/>
          </w:tcPr>
          <w:p>
            <w:pPr>
              <w:widowControl/>
              <w:numPr>
                <w:ilvl w:val="-1"/>
                <w:numId w:val="0"/>
              </w:numPr>
              <w:ind w:right="0" w:rightChars="0"/>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lang w:eastAsia="zh-CN"/>
              </w:rPr>
              <w:t>根据20</w:t>
            </w:r>
            <w:r>
              <w:rPr>
                <w:rFonts w:hint="eastAsia" w:ascii="宋体" w:hAnsi="宋体" w:eastAsia="宋体" w:cs="宋体"/>
                <w:color w:val="000000"/>
                <w:kern w:val="0"/>
                <w:sz w:val="22"/>
                <w:szCs w:val="22"/>
                <w:lang w:val="en-US" w:eastAsia="zh-CN"/>
              </w:rPr>
              <w:t>20年度及</w:t>
            </w:r>
            <w:r>
              <w:rPr>
                <w:rFonts w:hint="eastAsia" w:ascii="宋体" w:hAnsi="宋体" w:eastAsia="宋体" w:cs="宋体"/>
                <w:color w:val="000000"/>
                <w:kern w:val="0"/>
                <w:sz w:val="22"/>
                <w:szCs w:val="22"/>
                <w:lang w:eastAsia="zh-CN"/>
              </w:rPr>
              <w:t>2021年</w:t>
            </w:r>
            <w:r>
              <w:rPr>
                <w:rFonts w:hint="eastAsia" w:ascii="宋体" w:hAnsi="宋体" w:eastAsia="宋体" w:cs="宋体"/>
                <w:color w:val="000000"/>
                <w:kern w:val="0"/>
                <w:sz w:val="22"/>
                <w:szCs w:val="22"/>
                <w:lang w:val="en-US" w:eastAsia="zh-CN"/>
              </w:rPr>
              <w:t>度</w:t>
            </w:r>
            <w:r>
              <w:rPr>
                <w:rFonts w:hint="eastAsia" w:ascii="宋体" w:hAnsi="宋体" w:eastAsia="宋体" w:cs="宋体"/>
                <w:color w:val="000000"/>
                <w:kern w:val="0"/>
                <w:sz w:val="22"/>
                <w:szCs w:val="22"/>
                <w:lang w:eastAsia="zh-CN"/>
              </w:rPr>
              <w:t>《中国人民银行合肥中心支行办公室关于安徽省金融机构债券主承销业务评价结果的通报》，</w:t>
            </w:r>
            <w:r>
              <w:rPr>
                <w:rFonts w:hint="eastAsia" w:ascii="宋体" w:hAnsi="宋体" w:eastAsia="宋体" w:cs="宋体"/>
                <w:color w:val="000000"/>
                <w:kern w:val="0"/>
                <w:sz w:val="22"/>
                <w:szCs w:val="22"/>
                <w:lang w:val="en-US" w:eastAsia="zh-CN"/>
              </w:rPr>
              <w:t>两</w:t>
            </w:r>
            <w:r>
              <w:rPr>
                <w:rFonts w:hint="eastAsia" w:ascii="宋体" w:hAnsi="宋体" w:eastAsia="宋体" w:cs="宋体"/>
                <w:color w:val="000000"/>
                <w:kern w:val="0"/>
                <w:sz w:val="22"/>
                <w:szCs w:val="22"/>
                <w:lang w:eastAsia="zh-CN"/>
              </w:rPr>
              <w:t>年</w:t>
            </w:r>
            <w:r>
              <w:rPr>
                <w:rFonts w:hint="eastAsia" w:ascii="宋体" w:hAnsi="宋体" w:eastAsia="宋体" w:cs="宋体"/>
                <w:color w:val="000000"/>
                <w:kern w:val="0"/>
                <w:sz w:val="22"/>
                <w:szCs w:val="22"/>
                <w:lang w:val="en-US" w:eastAsia="zh-CN"/>
              </w:rPr>
              <w:t>均为</w:t>
            </w:r>
            <w:r>
              <w:rPr>
                <w:rFonts w:hint="eastAsia" w:ascii="宋体" w:hAnsi="宋体" w:eastAsia="宋体" w:cs="宋体"/>
                <w:color w:val="000000"/>
                <w:kern w:val="0"/>
                <w:sz w:val="22"/>
                <w:szCs w:val="22"/>
                <w:lang w:eastAsia="zh-CN"/>
              </w:rPr>
              <w:t>A类的</w:t>
            </w:r>
            <w:r>
              <w:rPr>
                <w:rFonts w:hint="eastAsia" w:ascii="宋体" w:hAnsi="宋体" w:eastAsia="宋体" w:cs="宋体"/>
                <w:color w:val="000000"/>
                <w:kern w:val="0"/>
                <w:sz w:val="22"/>
                <w:szCs w:val="22"/>
                <w:lang w:val="en-US" w:eastAsia="zh-CN"/>
              </w:rPr>
              <w:t>，得5</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两年中仅有一年为</w:t>
            </w:r>
            <w:r>
              <w:rPr>
                <w:rFonts w:hint="eastAsia" w:ascii="宋体" w:hAnsi="宋体" w:eastAsia="宋体" w:cs="宋体"/>
                <w:color w:val="000000"/>
                <w:kern w:val="0"/>
                <w:sz w:val="22"/>
                <w:szCs w:val="22"/>
                <w:lang w:eastAsia="zh-CN"/>
              </w:rPr>
              <w:t>A类</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2</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其他情况不得分。</w:t>
            </w:r>
          </w:p>
          <w:p>
            <w:pPr>
              <w:widowControl/>
              <w:rPr>
                <w:rFonts w:hint="eastAsia" w:ascii="宋体" w:hAnsi="宋体" w:eastAsia="宋体" w:cs="宋体"/>
                <w:sz w:val="22"/>
                <w:szCs w:val="22"/>
                <w:lang w:eastAsia="zh-CN"/>
              </w:rPr>
            </w:pPr>
            <w:r>
              <w:rPr>
                <w:rFonts w:hint="eastAsia" w:ascii="宋体" w:hAnsi="宋体" w:eastAsia="宋体" w:cs="宋体"/>
                <w:b w:val="0"/>
                <w:bCs w:val="0"/>
                <w:color w:val="000000"/>
                <w:kern w:val="0"/>
                <w:sz w:val="22"/>
                <w:szCs w:val="22"/>
                <w:lang w:eastAsia="zh-CN"/>
              </w:rPr>
              <w:t>注：</w:t>
            </w:r>
            <w:r>
              <w:rPr>
                <w:rFonts w:hint="eastAsia" w:ascii="宋体" w:hAnsi="宋体" w:eastAsia="宋体" w:cs="宋体"/>
                <w:b w:val="0"/>
                <w:bCs w:val="0"/>
                <w:color w:val="000000"/>
                <w:kern w:val="0"/>
                <w:sz w:val="22"/>
                <w:szCs w:val="22"/>
                <w:lang w:val="en-US" w:eastAsia="zh-CN"/>
              </w:rPr>
              <w:t>2021年重点金融机构债券承销业务情况中所列综合得分前10名的视为A类。</w:t>
            </w:r>
            <w:r>
              <w:rPr>
                <w:rFonts w:hint="eastAsia" w:ascii="宋体" w:hAnsi="宋体" w:eastAsia="宋体" w:cs="宋体"/>
                <w:b w:val="0"/>
                <w:bCs w:val="0"/>
                <w:color w:val="000000"/>
                <w:kern w:val="0"/>
                <w:sz w:val="22"/>
                <w:szCs w:val="22"/>
                <w:lang w:eastAsia="zh-CN"/>
              </w:rPr>
              <w:t>投标文件中需提供《中国人民银行合肥中心支行办公室关于安徽省金融机构债券主承销业务评价结果的通报》</w:t>
            </w:r>
            <w:r>
              <w:rPr>
                <w:rFonts w:hint="eastAsia" w:ascii="宋体" w:hAnsi="宋体" w:eastAsia="宋体" w:cs="宋体"/>
                <w:b w:val="0"/>
                <w:bCs w:val="0"/>
                <w:color w:val="000000"/>
                <w:kern w:val="0"/>
                <w:sz w:val="22"/>
                <w:szCs w:val="22"/>
                <w:lang w:val="en-US" w:eastAsia="zh-CN"/>
              </w:rPr>
              <w:t>截图的</w:t>
            </w:r>
            <w:r>
              <w:rPr>
                <w:rFonts w:hint="eastAsia" w:ascii="宋体" w:hAnsi="宋体" w:eastAsia="宋体" w:cs="宋体"/>
                <w:b w:val="0"/>
                <w:bCs w:val="0"/>
                <w:color w:val="000000"/>
                <w:kern w:val="0"/>
                <w:sz w:val="22"/>
                <w:szCs w:val="22"/>
                <w:lang w:eastAsia="zh-CN"/>
              </w:rPr>
              <w:t>复印件或影印件并加盖投标人公章。未提供或提供不符合要求的不得分。</w:t>
            </w:r>
          </w:p>
          <w:p>
            <w:pPr>
              <w:widowControl/>
              <w:rPr>
                <w:rFonts w:hint="eastAsia" w:ascii="宋体" w:hAnsi="宋体" w:eastAsia="宋体" w:cs="宋体"/>
                <w:sz w:val="22"/>
                <w:szCs w:val="22"/>
                <w:lang w:eastAsia="zh-CN"/>
              </w:rPr>
            </w:pPr>
            <w:r>
              <w:rPr>
                <w:rFonts w:hint="eastAsia" w:ascii="宋体" w:hAnsi="宋体" w:eastAsia="宋体" w:cs="宋体"/>
                <w:sz w:val="22"/>
                <w:szCs w:val="22"/>
                <w:lang w:eastAsia="zh-CN"/>
              </w:rPr>
              <w:t>2.承销商目前在皖分行有协会借调人员</w:t>
            </w:r>
            <w:r>
              <w:rPr>
                <w:rFonts w:hint="eastAsia" w:ascii="宋体" w:hAnsi="宋体" w:eastAsia="宋体" w:cs="宋体"/>
                <w:sz w:val="22"/>
                <w:szCs w:val="22"/>
                <w:lang w:val="en-US" w:eastAsia="zh-CN"/>
              </w:rPr>
              <w:t>或者本次服务团队人员中有协会借调经验</w:t>
            </w:r>
            <w:r>
              <w:rPr>
                <w:rFonts w:hint="eastAsia" w:ascii="宋体" w:hAnsi="宋体" w:eastAsia="宋体" w:cs="宋体"/>
                <w:sz w:val="22"/>
                <w:szCs w:val="22"/>
                <w:lang w:eastAsia="zh-CN"/>
              </w:rPr>
              <w:t>的得</w:t>
            </w:r>
            <w:r>
              <w:rPr>
                <w:rFonts w:hint="eastAsia" w:ascii="宋体" w:hAnsi="宋体" w:eastAsia="宋体" w:cs="宋体"/>
                <w:sz w:val="22"/>
                <w:szCs w:val="22"/>
                <w:lang w:val="en-US" w:eastAsia="zh-CN"/>
              </w:rPr>
              <w:t>5</w:t>
            </w:r>
            <w:r>
              <w:rPr>
                <w:rFonts w:hint="eastAsia" w:ascii="宋体" w:hAnsi="宋体" w:eastAsia="宋体" w:cs="宋体"/>
                <w:sz w:val="22"/>
                <w:szCs w:val="22"/>
                <w:lang w:eastAsia="zh-CN"/>
              </w:rPr>
              <w:t>分，没有不得分，该部分请详细列举中国银行间市场交易商协会驻会、借调人员信息及借调时间，并承诺相关信息真实有效（若提供虚假信息，直接取消相关资格）；</w:t>
            </w:r>
          </w:p>
          <w:p>
            <w:pPr>
              <w:widowControl/>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3.往期投资农垦集团发行的债券</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投资总额超过1亿元（含）</w:t>
            </w:r>
            <w:r>
              <w:rPr>
                <w:rFonts w:hint="eastAsia" w:ascii="宋体" w:hAnsi="宋体" w:eastAsia="宋体" w:cs="宋体"/>
                <w:sz w:val="22"/>
                <w:szCs w:val="22"/>
                <w:highlight w:val="none"/>
                <w:lang w:eastAsia="zh-CN"/>
              </w:rPr>
              <w:t>得</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lang w:eastAsia="zh-CN"/>
              </w:rPr>
              <w:t>分，</w:t>
            </w:r>
            <w:r>
              <w:rPr>
                <w:rFonts w:hint="eastAsia" w:ascii="宋体" w:hAnsi="宋体" w:eastAsia="宋体" w:cs="宋体"/>
                <w:sz w:val="22"/>
                <w:szCs w:val="22"/>
                <w:highlight w:val="none"/>
                <w:lang w:val="en-US" w:eastAsia="zh-CN"/>
              </w:rPr>
              <w:t>投资总额低于1亿元得3分，没投资不得分；</w:t>
            </w:r>
          </w:p>
          <w:p>
            <w:pPr>
              <w:widowControl/>
              <w:rPr>
                <w:rFonts w:ascii="宋体" w:hAnsi="宋体" w:eastAsia="宋体" w:cs="宋体"/>
                <w:sz w:val="22"/>
                <w:szCs w:val="22"/>
                <w:lang w:eastAsia="zh-CN"/>
              </w:rPr>
            </w:pPr>
            <w:r>
              <w:rPr>
                <w:rFonts w:hint="eastAsia" w:ascii="宋体" w:hAnsi="宋体" w:eastAsia="宋体" w:cs="宋体"/>
                <w:sz w:val="22"/>
                <w:szCs w:val="22"/>
                <w:highlight w:val="none"/>
                <w:lang w:val="en-US" w:eastAsia="zh-CN"/>
              </w:rPr>
              <w:t>4.往期主承销商和联席承销商未参与其承销的债务投资业务报价扣10分，参与但由于报价过高投资其承销的债务额度低于20%的扣5分；</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eastAsia="zh-CN"/>
              </w:rPr>
              <w:t>2</w:t>
            </w:r>
            <w:r>
              <w:rPr>
                <w:rFonts w:hint="eastAsia" w:ascii="宋体" w:hAnsi="宋体" w:eastAsia="宋体" w:cs="宋体"/>
                <w:sz w:val="22"/>
                <w:lang w:val="en-US" w:eastAsia="zh-CN"/>
              </w:rPr>
              <w:t>0</w:t>
            </w:r>
            <w:r>
              <w:rPr>
                <w:rFonts w:hint="eastAsia" w:ascii="宋体" w:hAnsi="宋体" w:eastAsia="宋体" w:cs="宋体"/>
                <w:sz w:val="22"/>
              </w:rPr>
              <w:t>分</w:t>
            </w:r>
          </w:p>
        </w:tc>
      </w:tr>
      <w:tr>
        <w:tblPrEx>
          <w:tblLayout w:type="fixed"/>
          <w:tblCellMar>
            <w:top w:w="0" w:type="dxa"/>
            <w:left w:w="108" w:type="dxa"/>
            <w:bottom w:w="0" w:type="dxa"/>
            <w:right w:w="108" w:type="dxa"/>
          </w:tblCellMar>
        </w:tblPrEx>
        <w:trPr>
          <w:trHeight w:val="2057"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2</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sz w:val="22"/>
                <w:lang w:val="en-US" w:eastAsia="zh-CN"/>
              </w:rPr>
            </w:pPr>
            <w:r>
              <w:rPr>
                <w:rFonts w:hint="eastAsia" w:ascii="宋体" w:hAnsi="宋体" w:eastAsia="宋体" w:cs="宋体"/>
                <w:sz w:val="22"/>
                <w:lang w:val="en-US" w:eastAsia="zh-CN"/>
              </w:rPr>
              <w:t>人员安排</w:t>
            </w: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rPr>
                <w:sz w:val="22"/>
                <w:szCs w:val="22"/>
                <w:lang w:val="en-US" w:eastAsia="zh-CN"/>
              </w:rPr>
            </w:pPr>
            <w:r>
              <w:rPr>
                <w:rFonts w:hint="eastAsia" w:ascii="宋体" w:hAnsi="宋体" w:eastAsia="宋体" w:cs="宋体"/>
                <w:sz w:val="22"/>
                <w:szCs w:val="22"/>
                <w:highlight w:val="none"/>
                <w:lang w:val="en-US" w:eastAsia="zh-CN"/>
              </w:rPr>
              <w:t>基本分4分。此次项目</w:t>
            </w:r>
            <w:r>
              <w:rPr>
                <w:rFonts w:hint="eastAsia" w:ascii="宋体" w:hAnsi="宋体" w:eastAsia="宋体" w:cs="宋体"/>
                <w:sz w:val="22"/>
                <w:szCs w:val="22"/>
                <w:highlight w:val="none"/>
                <w:lang w:eastAsia="zh-CN"/>
              </w:rPr>
              <w:t>承销团队人员配置和资质、包括人员岗位的设置与职责、学历以及对各种债券融资工具（如：超短融、短融、中票、永续票据等）交易商协会产品的工作经验等；</w:t>
            </w:r>
            <w:r>
              <w:rPr>
                <w:rFonts w:hint="eastAsia" w:ascii="宋体" w:hAnsi="宋体" w:eastAsia="宋体" w:cs="宋体"/>
                <w:sz w:val="22"/>
                <w:szCs w:val="22"/>
                <w:highlight w:val="none"/>
                <w:lang w:val="en-US" w:eastAsia="zh-CN"/>
              </w:rPr>
              <w:t>销售团队的经验，往期销售情况等；</w:t>
            </w:r>
          </w:p>
        </w:tc>
        <w:tc>
          <w:tcPr>
            <w:tcW w:w="9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0-10分</w:t>
            </w:r>
          </w:p>
        </w:tc>
      </w:tr>
      <w:tr>
        <w:tblPrEx>
          <w:tblLayout w:type="fixed"/>
          <w:tblCellMar>
            <w:top w:w="0" w:type="dxa"/>
            <w:left w:w="108" w:type="dxa"/>
            <w:bottom w:w="0" w:type="dxa"/>
            <w:right w:w="108" w:type="dxa"/>
          </w:tblCellMar>
        </w:tblPrEx>
        <w:trPr>
          <w:trHeight w:val="488"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3</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承销服务</w:t>
            </w:r>
          </w:p>
          <w:p>
            <w:pPr>
              <w:widowControl/>
              <w:jc w:val="center"/>
              <w:rPr>
                <w:rFonts w:ascii="宋体" w:hAnsi="宋体" w:eastAsia="宋体" w:cs="宋体"/>
                <w:sz w:val="22"/>
              </w:rPr>
            </w:pPr>
            <w:r>
              <w:rPr>
                <w:rFonts w:hint="eastAsia" w:ascii="宋体" w:hAnsi="宋体" w:eastAsia="宋体" w:cs="宋体"/>
                <w:sz w:val="22"/>
              </w:rPr>
              <w:t>方案</w:t>
            </w: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6.前期工作进度安排：包括尽调工作进度、申报材料提交交易商协会的时间预计、发行销售安排等，根据安排的合理性与效率得0＜F≤10分；</w:t>
            </w:r>
          </w:p>
          <w:p>
            <w:pPr>
              <w:widowControl/>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7.关于中票未来市场发行利率的走势预测及发行时间建议等，根据分析的专业性得0＜F≤5分；</w:t>
            </w:r>
          </w:p>
          <w:p>
            <w:pPr>
              <w:widowControl/>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8.比选申请人提供的体现自身优势或优惠条件，包括但不限于：详细的降价策略、独有的被动投资渠道等，根据以往发行业绩的阐述判断得0＜F≤10分；</w:t>
            </w:r>
          </w:p>
          <w:p>
            <w:pPr>
              <w:widowControl/>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9.最终投标报价，报价低于或等于评审平均值得满分5分，高于评审平均值的按如下公式计算得分：承销费率报价得分=5*评审平均值/承销商承销费率报价。0＜F≤5分；</w:t>
            </w:r>
          </w:p>
          <w:p>
            <w:pPr>
              <w:widowControl/>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10.本次预计投资情况。承诺投资我司本次发行的中期票据发行规模30%（含）及以上得5分，投资20%（含）-30%（不含）得3分，投资20%（不含）以下不得分。0＜F≤5分；</w:t>
            </w:r>
          </w:p>
          <w:p>
            <w:pPr>
              <w:widowControl/>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承诺作为联席承销商投资我司本次发行的超短融发行规模30%（含）及以上得5分，投资20%（含）-30%（不含）得3分，投资20%（不含）以下不得分。0＜F≤5分；</w:t>
            </w:r>
          </w:p>
          <w:p>
            <w:pPr>
              <w:widowControl/>
              <w:rPr>
                <w:lang w:eastAsia="zh-CN"/>
              </w:rPr>
            </w:pPr>
            <w:r>
              <w:rPr>
                <w:rFonts w:hint="eastAsia" w:ascii="宋体" w:hAnsi="宋体" w:eastAsia="宋体" w:cs="宋体"/>
                <w:sz w:val="22"/>
                <w:szCs w:val="22"/>
                <w:lang w:val="en-US" w:eastAsia="zh-CN"/>
              </w:rPr>
              <w:t>（实际发行时未按承诺执行的，3年内不得参与安徽农垦招投标业务）</w:t>
            </w:r>
          </w:p>
        </w:tc>
        <w:tc>
          <w:tcPr>
            <w:tcW w:w="9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val="en-US" w:eastAsia="zh-CN"/>
              </w:rPr>
              <w:t>40</w:t>
            </w:r>
            <w:r>
              <w:rPr>
                <w:rFonts w:hint="eastAsia" w:ascii="宋体" w:hAnsi="宋体" w:eastAsia="宋体" w:cs="宋体"/>
                <w:sz w:val="22"/>
              </w:rPr>
              <w:t>分</w:t>
            </w:r>
          </w:p>
        </w:tc>
      </w:tr>
      <w:tr>
        <w:tblPrEx>
          <w:tblLayout w:type="fixed"/>
          <w:tblCellMar>
            <w:top w:w="0" w:type="dxa"/>
            <w:left w:w="108" w:type="dxa"/>
            <w:bottom w:w="0" w:type="dxa"/>
            <w:right w:w="108" w:type="dxa"/>
          </w:tblCellMar>
        </w:tblPrEx>
        <w:trPr>
          <w:trHeight w:val="139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lang w:val="en-US" w:eastAsia="zh-CN"/>
              </w:rPr>
              <w:t>类似业绩</w:t>
            </w:r>
          </w:p>
        </w:tc>
        <w:tc>
          <w:tcPr>
            <w:tcW w:w="5862" w:type="dxa"/>
            <w:tcBorders>
              <w:top w:val="nil"/>
              <w:left w:val="nil"/>
              <w:bottom w:val="single" w:color="auto" w:sz="4" w:space="0"/>
              <w:right w:val="single" w:color="auto" w:sz="4" w:space="0"/>
            </w:tcBorders>
            <w:shd w:val="clear" w:color="auto" w:fill="auto"/>
            <w:vAlign w:val="center"/>
          </w:tcPr>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11.全国发行</w:t>
            </w:r>
            <w:r>
              <w:rPr>
                <w:rFonts w:hint="eastAsia" w:ascii="宋体" w:hAnsi="宋体" w:eastAsia="宋体" w:cs="宋体"/>
                <w:sz w:val="22"/>
                <w:szCs w:val="22"/>
                <w:lang w:eastAsia="zh-CN"/>
              </w:rPr>
              <w:t>支数</w:t>
            </w:r>
            <w:r>
              <w:rPr>
                <w:rFonts w:hint="eastAsia" w:ascii="宋体" w:hAnsi="宋体" w:eastAsia="宋体" w:cs="宋体"/>
                <w:sz w:val="22"/>
                <w:szCs w:val="22"/>
                <w:lang w:val="en-US" w:eastAsia="zh-CN"/>
              </w:rPr>
              <w:t>和发行价格</w:t>
            </w:r>
          </w:p>
          <w:p>
            <w:pPr>
              <w:pStyle w:val="7"/>
              <w:ind w:left="0" w:leftChars="0" w:firstLine="0" w:firstLineChars="0"/>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自</w:t>
            </w:r>
            <w:r>
              <w:rPr>
                <w:rFonts w:hint="eastAsia" w:ascii="宋体" w:hAnsi="宋体" w:eastAsia="宋体" w:cs="宋体"/>
                <w:color w:val="000000"/>
                <w:kern w:val="0"/>
                <w:sz w:val="22"/>
                <w:szCs w:val="22"/>
                <w:lang w:eastAsia="zh-CN"/>
              </w:rPr>
              <w:t>20</w:t>
            </w:r>
            <w:r>
              <w:rPr>
                <w:rFonts w:hint="eastAsia" w:ascii="宋体" w:hAnsi="宋体" w:eastAsia="宋体" w:cs="宋体"/>
                <w:color w:val="000000"/>
                <w:kern w:val="0"/>
                <w:sz w:val="22"/>
                <w:szCs w:val="22"/>
                <w:lang w:val="en-US" w:eastAsia="zh-CN"/>
              </w:rPr>
              <w:t>21年1月1日</w:t>
            </w:r>
            <w:r>
              <w:rPr>
                <w:rFonts w:hint="eastAsia" w:ascii="宋体" w:hAnsi="宋体" w:eastAsia="宋体" w:cs="宋体"/>
                <w:color w:val="000000"/>
                <w:sz w:val="22"/>
                <w:szCs w:val="22"/>
                <w:lang w:eastAsia="zh-CN"/>
              </w:rPr>
              <w:t>起至</w:t>
            </w:r>
            <w:r>
              <w:rPr>
                <w:rFonts w:hint="eastAsia" w:ascii="宋体" w:hAnsi="宋体" w:eastAsia="宋体" w:cs="宋体"/>
                <w:color w:val="000000"/>
                <w:kern w:val="0"/>
                <w:sz w:val="22"/>
                <w:szCs w:val="22"/>
                <w:lang w:eastAsia="zh-CN"/>
              </w:rPr>
              <w:t>202</w:t>
            </w: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lang w:eastAsia="zh-CN"/>
              </w:rPr>
              <w:t>年</w:t>
            </w:r>
            <w:r>
              <w:rPr>
                <w:rFonts w:hint="eastAsia" w:ascii="宋体" w:hAnsi="宋体" w:eastAsia="宋体" w:cs="宋体"/>
                <w:color w:val="000000"/>
                <w:kern w:val="0"/>
                <w:sz w:val="22"/>
                <w:szCs w:val="22"/>
                <w:lang w:val="en-US" w:eastAsia="zh-CN"/>
              </w:rPr>
              <w:t>12月31日止，</w:t>
            </w:r>
            <w:r>
              <w:rPr>
                <w:rFonts w:hint="eastAsia" w:ascii="宋体" w:hAnsi="宋体" w:eastAsia="宋体" w:cs="宋体"/>
                <w:color w:val="000000"/>
                <w:kern w:val="0"/>
                <w:sz w:val="22"/>
                <w:szCs w:val="22"/>
                <w:lang w:eastAsia="zh-CN"/>
              </w:rPr>
              <w:t>根据投标人在银行间市场交易商协会承销的债券累计金额（含联席承销）排名</w:t>
            </w: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lang w:eastAsia="zh-CN"/>
              </w:rPr>
              <w:t>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1-5名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lang w:eastAsia="zh-CN"/>
              </w:rPr>
              <w:t>分；排名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6-10名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4</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lang w:eastAsia="zh-CN"/>
              </w:rPr>
              <w:t>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11名之后</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w:t>
            </w:r>
          </w:p>
          <w:p>
            <w:pPr>
              <w:pStyle w:val="7"/>
              <w:ind w:left="0" w:leftChars="0" w:firstLine="0" w:firstLineChars="0"/>
              <w:rPr>
                <w:rFonts w:hint="eastAsia" w:ascii="宋体" w:hAnsi="宋体" w:eastAsia="宋体" w:cs="宋体"/>
                <w:sz w:val="22"/>
                <w:szCs w:val="22"/>
                <w:lang w:eastAsia="zh-CN"/>
              </w:rPr>
            </w:pPr>
            <w:r>
              <w:rPr>
                <w:rFonts w:hint="eastAsia" w:ascii="宋体" w:hAnsi="宋体" w:eastAsia="宋体" w:cs="宋体"/>
                <w:sz w:val="22"/>
                <w:szCs w:val="22"/>
                <w:lang w:val="en-US" w:eastAsia="zh-CN"/>
              </w:rPr>
              <w:t>12.</w:t>
            </w:r>
            <w:r>
              <w:rPr>
                <w:rFonts w:hint="eastAsia" w:ascii="宋体" w:hAnsi="宋体" w:eastAsia="宋体" w:cs="宋体"/>
                <w:sz w:val="22"/>
                <w:szCs w:val="22"/>
                <w:lang w:eastAsia="zh-CN"/>
              </w:rPr>
              <w:t>区域</w:t>
            </w:r>
            <w:r>
              <w:rPr>
                <w:rFonts w:hint="eastAsia" w:ascii="宋体" w:hAnsi="宋体" w:eastAsia="宋体" w:cs="宋体"/>
                <w:sz w:val="22"/>
                <w:szCs w:val="22"/>
                <w:lang w:val="en-US" w:eastAsia="zh-CN"/>
              </w:rPr>
              <w:t>发行</w:t>
            </w:r>
            <w:r>
              <w:rPr>
                <w:rFonts w:hint="eastAsia" w:ascii="宋体" w:hAnsi="宋体" w:eastAsia="宋体" w:cs="宋体"/>
                <w:sz w:val="22"/>
                <w:szCs w:val="22"/>
                <w:lang w:eastAsia="zh-CN"/>
              </w:rPr>
              <w:t>支数</w:t>
            </w:r>
            <w:r>
              <w:rPr>
                <w:rFonts w:hint="eastAsia" w:ascii="宋体" w:hAnsi="宋体" w:eastAsia="宋体" w:cs="宋体"/>
                <w:sz w:val="22"/>
                <w:szCs w:val="22"/>
                <w:lang w:val="en-US" w:eastAsia="zh-CN"/>
              </w:rPr>
              <w:t>和发行价格</w:t>
            </w:r>
          </w:p>
          <w:p>
            <w:pPr>
              <w:pStyle w:val="7"/>
              <w:ind w:left="0" w:leftChars="0" w:firstLine="0" w:firstLineChars="0"/>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自</w:t>
            </w:r>
            <w:r>
              <w:rPr>
                <w:rFonts w:hint="eastAsia" w:ascii="宋体" w:hAnsi="宋体" w:eastAsia="宋体" w:cs="宋体"/>
                <w:color w:val="000000"/>
                <w:kern w:val="0"/>
                <w:sz w:val="22"/>
                <w:szCs w:val="22"/>
                <w:lang w:eastAsia="zh-CN"/>
              </w:rPr>
              <w:t>20</w:t>
            </w:r>
            <w:r>
              <w:rPr>
                <w:rFonts w:hint="eastAsia" w:ascii="宋体" w:hAnsi="宋体" w:eastAsia="宋体" w:cs="宋体"/>
                <w:color w:val="000000"/>
                <w:kern w:val="0"/>
                <w:sz w:val="22"/>
                <w:szCs w:val="22"/>
                <w:lang w:val="en-US" w:eastAsia="zh-CN"/>
              </w:rPr>
              <w:t>21年1月1日</w:t>
            </w:r>
            <w:r>
              <w:rPr>
                <w:rFonts w:hint="eastAsia" w:ascii="宋体" w:hAnsi="宋体" w:eastAsia="宋体" w:cs="宋体"/>
                <w:color w:val="000000"/>
                <w:sz w:val="22"/>
                <w:szCs w:val="22"/>
                <w:lang w:eastAsia="zh-CN"/>
              </w:rPr>
              <w:t>起至</w:t>
            </w:r>
            <w:r>
              <w:rPr>
                <w:rFonts w:hint="eastAsia" w:ascii="宋体" w:hAnsi="宋体" w:eastAsia="宋体" w:cs="宋体"/>
                <w:color w:val="000000"/>
                <w:kern w:val="0"/>
                <w:sz w:val="22"/>
                <w:szCs w:val="22"/>
                <w:lang w:eastAsia="zh-CN"/>
              </w:rPr>
              <w:t>202</w:t>
            </w: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lang w:eastAsia="zh-CN"/>
              </w:rPr>
              <w:t>年</w:t>
            </w:r>
            <w:r>
              <w:rPr>
                <w:rFonts w:hint="eastAsia" w:ascii="宋体" w:hAnsi="宋体" w:eastAsia="宋体" w:cs="宋体"/>
                <w:color w:val="000000"/>
                <w:kern w:val="0"/>
                <w:sz w:val="22"/>
                <w:szCs w:val="22"/>
                <w:lang w:val="en-US" w:eastAsia="zh-CN"/>
              </w:rPr>
              <w:t>12月31日止，</w:t>
            </w:r>
            <w:r>
              <w:rPr>
                <w:rFonts w:hint="eastAsia" w:ascii="宋体" w:hAnsi="宋体" w:eastAsia="宋体" w:cs="宋体"/>
                <w:b w:val="0"/>
                <w:bCs w:val="0"/>
                <w:color w:val="000000"/>
                <w:kern w:val="0"/>
                <w:sz w:val="22"/>
                <w:szCs w:val="22"/>
                <w:lang w:val="en-US" w:eastAsia="zh-CN"/>
              </w:rPr>
              <w:t>投标人在</w:t>
            </w:r>
            <w:r>
              <w:rPr>
                <w:rFonts w:hint="eastAsia" w:ascii="宋体" w:hAnsi="宋体" w:eastAsia="宋体" w:cs="宋体"/>
                <w:color w:val="000000"/>
                <w:kern w:val="0"/>
                <w:sz w:val="22"/>
                <w:szCs w:val="22"/>
                <w:lang w:val="en-US" w:eastAsia="zh-CN"/>
              </w:rPr>
              <w:t>安徽省内承销债券累计金额（含联席承销）排名：</w:t>
            </w:r>
            <w:r>
              <w:rPr>
                <w:rFonts w:hint="eastAsia" w:ascii="宋体" w:hAnsi="宋体" w:eastAsia="宋体" w:cs="宋体"/>
                <w:color w:val="000000"/>
                <w:kern w:val="0"/>
                <w:sz w:val="22"/>
                <w:szCs w:val="22"/>
                <w:lang w:eastAsia="zh-CN"/>
              </w:rPr>
              <w:t>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1-5名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lang w:eastAsia="zh-CN"/>
              </w:rPr>
              <w:t>分；排名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6-10名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4</w:t>
            </w:r>
            <w:r>
              <w:rPr>
                <w:rFonts w:hint="eastAsia" w:ascii="宋体" w:hAnsi="宋体" w:eastAsia="宋体" w:cs="宋体"/>
                <w:color w:val="000000"/>
                <w:kern w:val="0"/>
                <w:sz w:val="22"/>
                <w:szCs w:val="22"/>
                <w:lang w:eastAsia="zh-CN"/>
              </w:rPr>
              <w:t>分；排名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11名之后</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lang w:eastAsia="zh-CN"/>
              </w:rPr>
              <w:t>分。</w:t>
            </w:r>
          </w:p>
          <w:p>
            <w:pPr>
              <w:widowControl/>
              <w:rPr>
                <w:rFonts w:ascii="宋体" w:hAnsi="宋体" w:eastAsia="宋体" w:cs="宋体"/>
                <w:sz w:val="22"/>
                <w:szCs w:val="22"/>
                <w:lang w:eastAsia="zh-CN"/>
              </w:rPr>
            </w:pPr>
            <w:r>
              <w:rPr>
                <w:rFonts w:hint="eastAsia" w:ascii="宋体" w:hAnsi="宋体" w:eastAsia="宋体" w:cs="宋体"/>
                <w:b w:val="0"/>
                <w:bCs w:val="0"/>
                <w:color w:val="000000"/>
                <w:kern w:val="0"/>
                <w:sz w:val="22"/>
                <w:szCs w:val="22"/>
                <w:lang w:eastAsia="zh-CN"/>
              </w:rPr>
              <w:t>注：</w:t>
            </w:r>
            <w:r>
              <w:rPr>
                <w:rFonts w:hint="eastAsia" w:ascii="宋体" w:hAnsi="宋体" w:eastAsia="宋体" w:cs="宋体"/>
                <w:b w:val="0"/>
                <w:bCs w:val="0"/>
                <w:color w:val="000000"/>
                <w:sz w:val="22"/>
                <w:szCs w:val="22"/>
                <w:lang w:eastAsia="zh-CN"/>
              </w:rPr>
              <w:t>投标文件中需提供Wind截图</w:t>
            </w:r>
            <w:r>
              <w:rPr>
                <w:rFonts w:hint="eastAsia" w:ascii="宋体" w:hAnsi="宋体" w:eastAsia="宋体" w:cs="宋体"/>
                <w:b w:val="0"/>
                <w:bCs w:val="0"/>
                <w:color w:val="000000"/>
                <w:sz w:val="22"/>
                <w:szCs w:val="22"/>
                <w:lang w:val="en-US" w:eastAsia="zh-CN"/>
              </w:rPr>
              <w:t>复印件或影印件</w:t>
            </w:r>
            <w:r>
              <w:rPr>
                <w:rFonts w:hint="eastAsia" w:ascii="宋体" w:hAnsi="宋体" w:eastAsia="宋体" w:cs="宋体"/>
                <w:b w:val="0"/>
                <w:bCs w:val="0"/>
                <w:color w:val="000000"/>
                <w:sz w:val="22"/>
                <w:szCs w:val="22"/>
                <w:lang w:eastAsia="zh-CN"/>
              </w:rPr>
              <w:t>。未提供或提供不符合要求的不得分；</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val="en-US" w:eastAsia="zh-CN"/>
              </w:rPr>
              <w:t>1</w:t>
            </w:r>
            <w:r>
              <w:rPr>
                <w:rFonts w:hint="eastAsia" w:ascii="宋体" w:hAnsi="宋体" w:eastAsia="宋体" w:cs="宋体"/>
                <w:sz w:val="22"/>
              </w:rPr>
              <w:t>0分</w:t>
            </w:r>
          </w:p>
        </w:tc>
      </w:tr>
      <w:tr>
        <w:tblPrEx>
          <w:tblLayout w:type="fixed"/>
          <w:tblCellMar>
            <w:top w:w="0" w:type="dxa"/>
            <w:left w:w="108" w:type="dxa"/>
            <w:bottom w:w="0" w:type="dxa"/>
            <w:right w:w="108" w:type="dxa"/>
          </w:tblCellMar>
        </w:tblPrEx>
        <w:trPr>
          <w:trHeight w:val="65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ascii="宋体" w:hAnsi="宋体" w:eastAsia="宋体" w:cs="宋体"/>
                <w:sz w:val="22"/>
              </w:rPr>
              <w:t>合作满意度</w:t>
            </w:r>
          </w:p>
        </w:tc>
        <w:tc>
          <w:tcPr>
            <w:tcW w:w="5862" w:type="dxa"/>
            <w:tcBorders>
              <w:top w:val="nil"/>
              <w:left w:val="nil"/>
              <w:bottom w:val="single" w:color="auto" w:sz="4" w:space="0"/>
              <w:right w:val="single" w:color="auto" w:sz="4" w:space="0"/>
            </w:tcBorders>
            <w:shd w:val="clear" w:color="auto" w:fill="auto"/>
            <w:vAlign w:val="center"/>
          </w:tcPr>
          <w:p>
            <w:pPr>
              <w:widowControl w:val="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13.</w:t>
            </w:r>
            <w:r>
              <w:rPr>
                <w:rFonts w:hint="eastAsia" w:ascii="宋体" w:hAnsi="宋体" w:eastAsia="宋体" w:cs="宋体"/>
                <w:sz w:val="22"/>
                <w:szCs w:val="22"/>
                <w:lang w:eastAsia="zh-CN"/>
              </w:rPr>
              <w:t>合作满意度评分，满分</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0分。</w:t>
            </w:r>
            <w:r>
              <w:rPr>
                <w:rFonts w:hint="eastAsia" w:ascii="宋体" w:hAnsi="宋体" w:eastAsia="宋体" w:cs="宋体"/>
                <w:sz w:val="22"/>
                <w:szCs w:val="22"/>
                <w:lang w:val="en-US" w:eastAsia="zh-CN"/>
              </w:rPr>
              <w:t>往期发债价格满意度等。</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val="en-US" w:eastAsia="zh-CN"/>
              </w:rPr>
              <w:t>2</w:t>
            </w:r>
            <w:r>
              <w:rPr>
                <w:rFonts w:hint="eastAsia" w:ascii="宋体" w:hAnsi="宋体" w:eastAsia="宋体" w:cs="宋体"/>
                <w:sz w:val="22"/>
              </w:rPr>
              <w:t>0分</w:t>
            </w:r>
          </w:p>
        </w:tc>
      </w:tr>
      <w:tr>
        <w:tblPrEx>
          <w:tblLayout w:type="fixed"/>
          <w:tblCellMar>
            <w:top w:w="0" w:type="dxa"/>
            <w:left w:w="108" w:type="dxa"/>
            <w:bottom w:w="0" w:type="dxa"/>
            <w:right w:w="108" w:type="dxa"/>
          </w:tblCellMar>
        </w:tblPrEx>
        <w:trPr>
          <w:trHeight w:val="58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2"/>
                <w:highlight w:val="yellow"/>
              </w:rPr>
            </w:pPr>
            <w:r>
              <w:rPr>
                <w:rFonts w:hint="eastAsia" w:ascii="宋体" w:hAnsi="宋体" w:eastAsia="宋体" w:cs="宋体"/>
                <w:b/>
                <w:bCs/>
                <w:sz w:val="22"/>
              </w:rPr>
              <w:t>合计</w:t>
            </w:r>
          </w:p>
        </w:tc>
        <w:tc>
          <w:tcPr>
            <w:tcW w:w="5862"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b/>
                <w:bCs/>
                <w:sz w:val="22"/>
                <w:highlight w:val="yellow"/>
              </w:rPr>
            </w:pPr>
            <w:r>
              <w:rPr>
                <w:rFonts w:hint="eastAsia" w:ascii="宋体" w:hAnsi="宋体" w:eastAsia="宋体" w:cs="宋体"/>
                <w:b/>
                <w:bCs/>
                <w:sz w:val="22"/>
              </w:rPr>
              <w:t>　</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2"/>
                <w:highlight w:val="yellow"/>
              </w:rPr>
            </w:pPr>
            <w:r>
              <w:rPr>
                <w:rFonts w:hint="eastAsia" w:ascii="宋体" w:hAnsi="宋体" w:eastAsia="宋体" w:cs="宋体"/>
                <w:b/>
                <w:bCs/>
                <w:sz w:val="22"/>
              </w:rPr>
              <w:t>100分</w:t>
            </w:r>
          </w:p>
        </w:tc>
      </w:tr>
    </w:tbl>
    <w:p>
      <w:pPr>
        <w:ind w:firstLine="640" w:firstLineChars="200"/>
        <w:jc w:val="both"/>
        <w:rPr>
          <w:rFonts w:ascii="黑体" w:hAnsi="黑体" w:eastAsia="黑体"/>
          <w:sz w:val="32"/>
          <w:szCs w:val="32"/>
          <w:lang w:eastAsia="zh-CN"/>
        </w:rPr>
      </w:pPr>
    </w:p>
    <w:p>
      <w:pPr>
        <w:ind w:firstLine="640" w:firstLineChars="200"/>
        <w:jc w:val="both"/>
        <w:rPr>
          <w:rFonts w:ascii="黑体" w:hAnsi="黑体" w:eastAsia="黑体"/>
          <w:sz w:val="32"/>
          <w:szCs w:val="32"/>
          <w:lang w:eastAsia="zh-CN"/>
        </w:rPr>
      </w:pPr>
      <w:r>
        <w:rPr>
          <w:rFonts w:hint="eastAsia" w:ascii="黑体" w:hAnsi="黑体" w:eastAsia="黑体"/>
          <w:sz w:val="32"/>
          <w:szCs w:val="32"/>
          <w:lang w:eastAsia="zh-CN"/>
        </w:rPr>
        <w:t>七、超短期融资券评分表</w:t>
      </w:r>
    </w:p>
    <w:tbl>
      <w:tblPr>
        <w:tblStyle w:val="11"/>
        <w:tblW w:w="8679" w:type="dxa"/>
        <w:jc w:val="center"/>
        <w:tblInd w:w="0" w:type="dxa"/>
        <w:tblLayout w:type="fixed"/>
        <w:tblCellMar>
          <w:top w:w="0" w:type="dxa"/>
          <w:left w:w="108" w:type="dxa"/>
          <w:bottom w:w="0" w:type="dxa"/>
          <w:right w:w="108" w:type="dxa"/>
        </w:tblCellMar>
      </w:tblPr>
      <w:tblGrid>
        <w:gridCol w:w="744"/>
        <w:gridCol w:w="1144"/>
        <w:gridCol w:w="5862"/>
        <w:gridCol w:w="929"/>
      </w:tblGrid>
      <w:tr>
        <w:tblPrEx>
          <w:tblLayout w:type="fixed"/>
          <w:tblCellMar>
            <w:top w:w="0" w:type="dxa"/>
            <w:left w:w="108" w:type="dxa"/>
            <w:bottom w:w="0" w:type="dxa"/>
            <w:right w:w="108" w:type="dxa"/>
          </w:tblCellMar>
        </w:tblPrEx>
        <w:trPr>
          <w:trHeight w:val="551"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序号</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指标</w:t>
            </w: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指标描述</w:t>
            </w:r>
          </w:p>
        </w:tc>
        <w:tc>
          <w:tcPr>
            <w:tcW w:w="9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分值</w:t>
            </w:r>
          </w:p>
        </w:tc>
      </w:tr>
      <w:tr>
        <w:tblPrEx>
          <w:tblLayout w:type="fixed"/>
          <w:tblCellMar>
            <w:top w:w="0" w:type="dxa"/>
            <w:left w:w="108" w:type="dxa"/>
            <w:bottom w:w="0" w:type="dxa"/>
            <w:right w:w="108" w:type="dxa"/>
          </w:tblCellMar>
        </w:tblPrEx>
        <w:trPr>
          <w:trHeight w:val="346" w:hRule="atLeast"/>
          <w:jc w:val="center"/>
        </w:trPr>
        <w:tc>
          <w:tcPr>
            <w:tcW w:w="744"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1</w:t>
            </w:r>
          </w:p>
        </w:tc>
        <w:tc>
          <w:tcPr>
            <w:tcW w:w="1144" w:type="dxa"/>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lang w:val="en-US" w:eastAsia="zh-CN"/>
              </w:rPr>
              <w:t>比选人基本情况</w:t>
            </w:r>
          </w:p>
        </w:tc>
        <w:tc>
          <w:tcPr>
            <w:tcW w:w="5862" w:type="dxa"/>
            <w:tcBorders>
              <w:top w:val="nil"/>
              <w:left w:val="nil"/>
              <w:bottom w:val="single" w:color="auto" w:sz="4" w:space="0"/>
              <w:right w:val="single" w:color="auto" w:sz="4" w:space="0"/>
            </w:tcBorders>
            <w:shd w:val="clear" w:color="auto" w:fill="auto"/>
            <w:vAlign w:val="center"/>
          </w:tcPr>
          <w:p>
            <w:pPr>
              <w:widowControl/>
              <w:numPr>
                <w:ilvl w:val="-1"/>
                <w:numId w:val="0"/>
              </w:numPr>
              <w:ind w:right="0" w:rightChars="0"/>
              <w:jc w:val="left"/>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lang w:eastAsia="zh-CN"/>
              </w:rPr>
              <w:t>根据20</w:t>
            </w:r>
            <w:r>
              <w:rPr>
                <w:rFonts w:hint="eastAsia" w:ascii="宋体" w:hAnsi="宋体" w:eastAsia="宋体" w:cs="宋体"/>
                <w:color w:val="000000"/>
                <w:kern w:val="0"/>
                <w:sz w:val="22"/>
                <w:szCs w:val="22"/>
                <w:lang w:val="en-US" w:eastAsia="zh-CN"/>
              </w:rPr>
              <w:t>20年度及</w:t>
            </w:r>
            <w:r>
              <w:rPr>
                <w:rFonts w:hint="eastAsia" w:ascii="宋体" w:hAnsi="宋体" w:eastAsia="宋体" w:cs="宋体"/>
                <w:color w:val="000000"/>
                <w:kern w:val="0"/>
                <w:sz w:val="22"/>
                <w:szCs w:val="22"/>
                <w:lang w:eastAsia="zh-CN"/>
              </w:rPr>
              <w:t>2021年</w:t>
            </w:r>
            <w:r>
              <w:rPr>
                <w:rFonts w:hint="eastAsia" w:ascii="宋体" w:hAnsi="宋体" w:eastAsia="宋体" w:cs="宋体"/>
                <w:color w:val="000000"/>
                <w:kern w:val="0"/>
                <w:sz w:val="22"/>
                <w:szCs w:val="22"/>
                <w:lang w:val="en-US" w:eastAsia="zh-CN"/>
              </w:rPr>
              <w:t>度</w:t>
            </w:r>
            <w:r>
              <w:rPr>
                <w:rFonts w:hint="eastAsia" w:ascii="宋体" w:hAnsi="宋体" w:eastAsia="宋体" w:cs="宋体"/>
                <w:color w:val="000000"/>
                <w:kern w:val="0"/>
                <w:sz w:val="22"/>
                <w:szCs w:val="22"/>
                <w:lang w:eastAsia="zh-CN"/>
              </w:rPr>
              <w:t>《中国人民银行合肥中心支行办公室关于安徽省金融机构债券主承销业务评价结果的通报》，</w:t>
            </w:r>
            <w:r>
              <w:rPr>
                <w:rFonts w:hint="eastAsia" w:ascii="宋体" w:hAnsi="宋体" w:eastAsia="宋体" w:cs="宋体"/>
                <w:color w:val="000000"/>
                <w:kern w:val="0"/>
                <w:sz w:val="22"/>
                <w:szCs w:val="22"/>
                <w:lang w:val="en-US" w:eastAsia="zh-CN"/>
              </w:rPr>
              <w:t>两</w:t>
            </w:r>
            <w:r>
              <w:rPr>
                <w:rFonts w:hint="eastAsia" w:ascii="宋体" w:hAnsi="宋体" w:eastAsia="宋体" w:cs="宋体"/>
                <w:color w:val="000000"/>
                <w:kern w:val="0"/>
                <w:sz w:val="22"/>
                <w:szCs w:val="22"/>
                <w:lang w:eastAsia="zh-CN"/>
              </w:rPr>
              <w:t>年</w:t>
            </w:r>
            <w:r>
              <w:rPr>
                <w:rFonts w:hint="eastAsia" w:ascii="宋体" w:hAnsi="宋体" w:eastAsia="宋体" w:cs="宋体"/>
                <w:color w:val="000000"/>
                <w:kern w:val="0"/>
                <w:sz w:val="22"/>
                <w:szCs w:val="22"/>
                <w:lang w:val="en-US" w:eastAsia="zh-CN"/>
              </w:rPr>
              <w:t>均为</w:t>
            </w:r>
            <w:r>
              <w:rPr>
                <w:rFonts w:hint="eastAsia" w:ascii="宋体" w:hAnsi="宋体" w:eastAsia="宋体" w:cs="宋体"/>
                <w:color w:val="000000"/>
                <w:kern w:val="0"/>
                <w:sz w:val="22"/>
                <w:szCs w:val="22"/>
                <w:lang w:eastAsia="zh-CN"/>
              </w:rPr>
              <w:t>A类的</w:t>
            </w:r>
            <w:r>
              <w:rPr>
                <w:rFonts w:hint="eastAsia" w:ascii="宋体" w:hAnsi="宋体" w:eastAsia="宋体" w:cs="宋体"/>
                <w:color w:val="000000"/>
                <w:kern w:val="0"/>
                <w:sz w:val="22"/>
                <w:szCs w:val="22"/>
                <w:lang w:val="en-US" w:eastAsia="zh-CN"/>
              </w:rPr>
              <w:t>，得5</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两年中仅有一年为</w:t>
            </w:r>
            <w:r>
              <w:rPr>
                <w:rFonts w:hint="eastAsia" w:ascii="宋体" w:hAnsi="宋体" w:eastAsia="宋体" w:cs="宋体"/>
                <w:color w:val="000000"/>
                <w:kern w:val="0"/>
                <w:sz w:val="22"/>
                <w:szCs w:val="22"/>
                <w:lang w:eastAsia="zh-CN"/>
              </w:rPr>
              <w:t>A类</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2</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其他情况不得分。</w:t>
            </w:r>
          </w:p>
          <w:p>
            <w:pPr>
              <w:widowControl/>
              <w:numPr>
                <w:ilvl w:val="0"/>
                <w:numId w:val="0"/>
              </w:numPr>
              <w:rPr>
                <w:rFonts w:hint="eastAsia" w:ascii="宋体" w:hAnsi="宋体" w:eastAsia="宋体" w:cs="宋体"/>
                <w:sz w:val="22"/>
                <w:szCs w:val="22"/>
                <w:lang w:eastAsia="zh-CN"/>
              </w:rPr>
            </w:pPr>
            <w:r>
              <w:rPr>
                <w:rFonts w:hint="eastAsia" w:ascii="宋体" w:hAnsi="宋体" w:eastAsia="宋体" w:cs="宋体"/>
                <w:b w:val="0"/>
                <w:bCs w:val="0"/>
                <w:color w:val="000000"/>
                <w:kern w:val="0"/>
                <w:sz w:val="22"/>
                <w:szCs w:val="22"/>
                <w:lang w:eastAsia="zh-CN"/>
              </w:rPr>
              <w:t>注：</w:t>
            </w:r>
            <w:r>
              <w:rPr>
                <w:rFonts w:hint="eastAsia" w:ascii="宋体" w:hAnsi="宋体" w:eastAsia="宋体" w:cs="宋体"/>
                <w:b w:val="0"/>
                <w:bCs w:val="0"/>
                <w:color w:val="000000"/>
                <w:kern w:val="0"/>
                <w:sz w:val="22"/>
                <w:szCs w:val="22"/>
                <w:lang w:val="en-US" w:eastAsia="zh-CN"/>
              </w:rPr>
              <w:t>2021年重点金融机构债券承销业务情况中所列综合得分前10名的视为A类。</w:t>
            </w:r>
            <w:r>
              <w:rPr>
                <w:rFonts w:hint="eastAsia" w:ascii="宋体" w:hAnsi="宋体" w:eastAsia="宋体" w:cs="宋体"/>
                <w:b w:val="0"/>
                <w:bCs w:val="0"/>
                <w:color w:val="000000"/>
                <w:kern w:val="0"/>
                <w:sz w:val="22"/>
                <w:szCs w:val="22"/>
                <w:lang w:eastAsia="zh-CN"/>
              </w:rPr>
              <w:t>投标文件中需提供《中国人民银行合肥中心支行办公室关于安徽省金融机构债券主承销业务评价结果的通报》</w:t>
            </w:r>
            <w:r>
              <w:rPr>
                <w:rFonts w:hint="eastAsia" w:ascii="宋体" w:hAnsi="宋体" w:eastAsia="宋体" w:cs="宋体"/>
                <w:b w:val="0"/>
                <w:bCs w:val="0"/>
                <w:color w:val="000000"/>
                <w:kern w:val="0"/>
                <w:sz w:val="22"/>
                <w:szCs w:val="22"/>
                <w:lang w:val="en-US" w:eastAsia="zh-CN"/>
              </w:rPr>
              <w:t>截图的</w:t>
            </w:r>
            <w:r>
              <w:rPr>
                <w:rFonts w:hint="eastAsia" w:ascii="宋体" w:hAnsi="宋体" w:eastAsia="宋体" w:cs="宋体"/>
                <w:b w:val="0"/>
                <w:bCs w:val="0"/>
                <w:color w:val="000000"/>
                <w:kern w:val="0"/>
                <w:sz w:val="22"/>
                <w:szCs w:val="22"/>
                <w:lang w:eastAsia="zh-CN"/>
              </w:rPr>
              <w:t>复印件或影印件并加盖投标人公章。未提供或提供不符合要求的不得分。</w:t>
            </w:r>
          </w:p>
          <w:p>
            <w:pPr>
              <w:widowControl/>
              <w:rPr>
                <w:rFonts w:hint="eastAsia" w:ascii="宋体" w:hAnsi="宋体" w:eastAsia="宋体" w:cs="宋体"/>
                <w:sz w:val="22"/>
                <w:szCs w:val="22"/>
                <w:lang w:eastAsia="zh-CN"/>
              </w:rPr>
            </w:pPr>
            <w:r>
              <w:rPr>
                <w:rFonts w:hint="eastAsia" w:ascii="宋体" w:hAnsi="宋体" w:eastAsia="宋体" w:cs="宋体"/>
                <w:sz w:val="22"/>
                <w:szCs w:val="22"/>
                <w:lang w:eastAsia="zh-CN"/>
              </w:rPr>
              <w:t>2.承销商目前在皖分行有协会借调人员</w:t>
            </w:r>
            <w:r>
              <w:rPr>
                <w:rFonts w:hint="eastAsia" w:ascii="宋体" w:hAnsi="宋体" w:eastAsia="宋体" w:cs="宋体"/>
                <w:sz w:val="22"/>
                <w:szCs w:val="22"/>
                <w:lang w:val="en-US" w:eastAsia="zh-CN"/>
              </w:rPr>
              <w:t>或者本次服务团队人员中有协会借调经验</w:t>
            </w:r>
            <w:r>
              <w:rPr>
                <w:rFonts w:hint="eastAsia" w:ascii="宋体" w:hAnsi="宋体" w:eastAsia="宋体" w:cs="宋体"/>
                <w:sz w:val="22"/>
                <w:szCs w:val="22"/>
                <w:lang w:eastAsia="zh-CN"/>
              </w:rPr>
              <w:t>的得</w:t>
            </w:r>
            <w:r>
              <w:rPr>
                <w:rFonts w:hint="eastAsia" w:ascii="宋体" w:hAnsi="宋体" w:eastAsia="宋体" w:cs="宋体"/>
                <w:sz w:val="22"/>
                <w:szCs w:val="22"/>
                <w:lang w:val="en-US" w:eastAsia="zh-CN"/>
              </w:rPr>
              <w:t>5</w:t>
            </w:r>
            <w:r>
              <w:rPr>
                <w:rFonts w:hint="eastAsia" w:ascii="宋体" w:hAnsi="宋体" w:eastAsia="宋体" w:cs="宋体"/>
                <w:sz w:val="22"/>
                <w:szCs w:val="22"/>
                <w:lang w:eastAsia="zh-CN"/>
              </w:rPr>
              <w:t>分，没有不得分，该部分请详细列举中国银行间市场交易商协会驻会、借调人员信息及借调时间，并承诺相关信息真实有效（若提供虚假信息，直接取消相关资格）；</w:t>
            </w:r>
          </w:p>
          <w:p>
            <w:pPr>
              <w:widowControl/>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3.往期投资农垦集团发行的债券</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投资总额超过1亿元（含）</w:t>
            </w:r>
            <w:r>
              <w:rPr>
                <w:rFonts w:hint="eastAsia" w:ascii="宋体" w:hAnsi="宋体" w:eastAsia="宋体" w:cs="宋体"/>
                <w:sz w:val="22"/>
                <w:szCs w:val="22"/>
                <w:highlight w:val="none"/>
                <w:lang w:eastAsia="zh-CN"/>
              </w:rPr>
              <w:t>得5分，</w:t>
            </w:r>
            <w:r>
              <w:rPr>
                <w:rFonts w:hint="eastAsia" w:ascii="宋体" w:hAnsi="宋体" w:eastAsia="宋体" w:cs="宋体"/>
                <w:sz w:val="22"/>
                <w:szCs w:val="22"/>
                <w:highlight w:val="none"/>
                <w:lang w:val="en-US" w:eastAsia="zh-CN"/>
              </w:rPr>
              <w:t>投资总额低于1亿元得2分，没投资不得分；</w:t>
            </w:r>
          </w:p>
          <w:p>
            <w:pPr>
              <w:widowControl/>
              <w:rPr>
                <w:rFonts w:ascii="宋体" w:hAnsi="宋体" w:eastAsia="宋体" w:cs="宋体"/>
                <w:sz w:val="22"/>
                <w:szCs w:val="22"/>
                <w:lang w:eastAsia="zh-CN"/>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lang w:val="en-US" w:eastAsia="zh-CN"/>
              </w:rPr>
              <w:t>.往期主承销商和联席承销商未参与其承销的债务投资业务报价扣10分，参与但由于报价过高投资其承销的债务额度低于20%的扣5分；</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eastAsia="zh-CN"/>
              </w:rPr>
              <w:t>2</w:t>
            </w:r>
            <w:r>
              <w:rPr>
                <w:rFonts w:hint="eastAsia" w:ascii="宋体" w:hAnsi="宋体" w:eastAsia="宋体" w:cs="宋体"/>
                <w:sz w:val="22"/>
                <w:lang w:val="en-US" w:eastAsia="zh-CN"/>
              </w:rPr>
              <w:t>0</w:t>
            </w:r>
            <w:r>
              <w:rPr>
                <w:rFonts w:hint="eastAsia" w:ascii="宋体" w:hAnsi="宋体" w:eastAsia="宋体" w:cs="宋体"/>
                <w:sz w:val="22"/>
              </w:rPr>
              <w:t>分</w:t>
            </w:r>
          </w:p>
        </w:tc>
      </w:tr>
      <w:tr>
        <w:tblPrEx>
          <w:tblLayout w:type="fixed"/>
          <w:tblCellMar>
            <w:top w:w="0" w:type="dxa"/>
            <w:left w:w="108" w:type="dxa"/>
            <w:bottom w:w="0" w:type="dxa"/>
            <w:right w:w="108" w:type="dxa"/>
          </w:tblCellMar>
        </w:tblPrEx>
        <w:trPr>
          <w:trHeight w:val="2057"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2</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lang w:val="en-US" w:eastAsia="zh-CN"/>
              </w:rPr>
              <w:t>人员安排</w:t>
            </w: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sz w:val="22"/>
                <w:szCs w:val="22"/>
                <w:lang w:eastAsia="zh-CN"/>
              </w:rPr>
            </w:pPr>
            <w:r>
              <w:rPr>
                <w:rFonts w:hint="eastAsia" w:ascii="宋体" w:hAnsi="宋体" w:eastAsia="宋体" w:cs="宋体"/>
                <w:sz w:val="22"/>
                <w:szCs w:val="22"/>
                <w:lang w:val="en-US" w:eastAsia="zh-CN"/>
              </w:rPr>
              <w:t>5.基本分4分。此次项目</w:t>
            </w:r>
            <w:r>
              <w:rPr>
                <w:rFonts w:hint="eastAsia" w:ascii="宋体" w:hAnsi="宋体" w:eastAsia="宋体" w:cs="宋体"/>
                <w:sz w:val="22"/>
                <w:szCs w:val="22"/>
                <w:lang w:eastAsia="zh-CN"/>
              </w:rPr>
              <w:t>承销团队人员配置和资质、包括人员岗位的设置与职责、学历以及对各种债券融资工具（如：超短融、短融、中票、永续票据等）交易商协会产品的工作经验等；</w:t>
            </w:r>
          </w:p>
        </w:tc>
        <w:tc>
          <w:tcPr>
            <w:tcW w:w="9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0-10分</w:t>
            </w:r>
          </w:p>
        </w:tc>
      </w:tr>
      <w:tr>
        <w:tblPrEx>
          <w:tblLayout w:type="fixed"/>
          <w:tblCellMar>
            <w:top w:w="0" w:type="dxa"/>
            <w:left w:w="108" w:type="dxa"/>
            <w:bottom w:w="0" w:type="dxa"/>
            <w:right w:w="108" w:type="dxa"/>
          </w:tblCellMar>
        </w:tblPrEx>
        <w:trPr>
          <w:trHeight w:val="4556"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3</w:t>
            </w:r>
          </w:p>
        </w:tc>
        <w:tc>
          <w:tcPr>
            <w:tcW w:w="1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承销服务</w:t>
            </w:r>
          </w:p>
          <w:p>
            <w:pPr>
              <w:widowControl/>
              <w:jc w:val="center"/>
              <w:rPr>
                <w:rFonts w:ascii="宋体" w:hAnsi="宋体" w:eastAsia="宋体" w:cs="宋体"/>
                <w:sz w:val="22"/>
              </w:rPr>
            </w:pPr>
            <w:r>
              <w:rPr>
                <w:rFonts w:hint="eastAsia" w:ascii="宋体" w:hAnsi="宋体" w:eastAsia="宋体" w:cs="宋体"/>
                <w:sz w:val="22"/>
              </w:rPr>
              <w:t>方案</w:t>
            </w:r>
          </w:p>
        </w:tc>
        <w:tc>
          <w:tcPr>
            <w:tcW w:w="5862" w:type="dxa"/>
            <w:tcBorders>
              <w:top w:val="single" w:color="auto" w:sz="4" w:space="0"/>
              <w:left w:val="nil"/>
              <w:bottom w:val="single" w:color="auto" w:sz="4" w:space="0"/>
              <w:right w:val="single" w:color="auto" w:sz="4" w:space="0"/>
            </w:tcBorders>
            <w:shd w:val="clear" w:color="auto" w:fill="auto"/>
            <w:vAlign w:val="center"/>
          </w:tcPr>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6.前期工作进度安排：包括尽调工作进度、申报材料提交交易商协会的时间预计、发行销售安排等，根据安排的合理性与效率得0＜F≤10分；</w:t>
            </w:r>
          </w:p>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7.关于超短融未来市场发行利率的走势预测及发行时间建议等，根据分析的专业性得0＜F≤5分；</w:t>
            </w:r>
          </w:p>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8.比选申请人提供的体现自身优势或优惠条件，包括但不限于：详细的降价策略、独有的被动投资渠道等，根据以往发行业绩的阐述判断得0＜F≤10分；</w:t>
            </w:r>
          </w:p>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9.最终投标报价，报价低于或等于评审平均值得满分5分，高于评审平均值的按如下公式计算得分：承销费率报价得分=5*评审平均值/承销商承销费率报价。0＜F≤5分；</w:t>
            </w:r>
          </w:p>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10.本次预计投资情况。承诺投资我司本次发行的中期票据发行规模30%（含）及以上得5分，投资20%（含）-30%（不含）得3分，投资20%（不含）以下不得分。0＜F≤5分；</w:t>
            </w:r>
          </w:p>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承诺作为联席承销商投资我司本次发行的超短融发行规模30%（含）及以上得5分，投资20%（含）-30%（不含）得3分，投资20%（不含）以下不得分。0＜F≤5分；</w:t>
            </w:r>
          </w:p>
          <w:p>
            <w:pPr>
              <w:pStyle w:val="7"/>
              <w:ind w:left="0" w:leftChars="0" w:firstLine="0" w:firstLineChars="0"/>
              <w:rPr>
                <w:lang w:val="en-US" w:eastAsia="zh-CN"/>
              </w:rPr>
            </w:pPr>
            <w:r>
              <w:rPr>
                <w:rFonts w:hint="eastAsia" w:ascii="宋体" w:hAnsi="宋体" w:eastAsia="宋体" w:cs="宋体"/>
                <w:sz w:val="22"/>
                <w:szCs w:val="22"/>
                <w:lang w:val="en-US" w:eastAsia="zh-CN"/>
              </w:rPr>
              <w:t>（实际发行时未按承诺执行的，3年内不得参与安徽农垦招投标业务）</w:t>
            </w:r>
          </w:p>
        </w:tc>
        <w:tc>
          <w:tcPr>
            <w:tcW w:w="9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val="en-US" w:eastAsia="zh-CN"/>
              </w:rPr>
              <w:t>40</w:t>
            </w:r>
            <w:r>
              <w:rPr>
                <w:rFonts w:hint="eastAsia" w:ascii="宋体" w:hAnsi="宋体" w:eastAsia="宋体" w:cs="宋体"/>
                <w:sz w:val="22"/>
              </w:rPr>
              <w:t>分</w:t>
            </w:r>
          </w:p>
        </w:tc>
      </w:tr>
      <w:tr>
        <w:tblPrEx>
          <w:tblLayout w:type="fixed"/>
          <w:tblCellMar>
            <w:top w:w="0" w:type="dxa"/>
            <w:left w:w="108" w:type="dxa"/>
            <w:bottom w:w="0" w:type="dxa"/>
            <w:right w:w="108" w:type="dxa"/>
          </w:tblCellMar>
        </w:tblPrEx>
        <w:trPr>
          <w:trHeight w:val="91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lang w:val="en-US" w:eastAsia="zh-CN"/>
              </w:rPr>
              <w:t>类似业绩</w:t>
            </w:r>
          </w:p>
        </w:tc>
        <w:tc>
          <w:tcPr>
            <w:tcW w:w="5862" w:type="dxa"/>
            <w:tcBorders>
              <w:top w:val="nil"/>
              <w:left w:val="nil"/>
              <w:bottom w:val="single" w:color="auto" w:sz="4" w:space="0"/>
              <w:right w:val="single" w:color="auto" w:sz="4" w:space="0"/>
            </w:tcBorders>
            <w:shd w:val="clear" w:color="auto" w:fill="auto"/>
            <w:vAlign w:val="center"/>
          </w:tcPr>
          <w:p>
            <w:pPr>
              <w:pStyle w:val="7"/>
              <w:ind w:left="0" w:leftChars="0"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11.全国发行</w:t>
            </w:r>
            <w:r>
              <w:rPr>
                <w:rFonts w:hint="eastAsia" w:ascii="宋体" w:hAnsi="宋体" w:eastAsia="宋体" w:cs="宋体"/>
                <w:sz w:val="22"/>
                <w:szCs w:val="22"/>
                <w:lang w:eastAsia="zh-CN"/>
              </w:rPr>
              <w:t>支数</w:t>
            </w:r>
            <w:r>
              <w:rPr>
                <w:rFonts w:hint="eastAsia" w:ascii="宋体" w:hAnsi="宋体" w:eastAsia="宋体" w:cs="宋体"/>
                <w:sz w:val="22"/>
                <w:szCs w:val="22"/>
                <w:lang w:val="en-US" w:eastAsia="zh-CN"/>
              </w:rPr>
              <w:t>和发行价格</w:t>
            </w:r>
          </w:p>
          <w:p>
            <w:pPr>
              <w:pStyle w:val="7"/>
              <w:ind w:left="0" w:leftChars="0" w:firstLine="0" w:firstLineChars="0"/>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自</w:t>
            </w:r>
            <w:r>
              <w:rPr>
                <w:rFonts w:hint="eastAsia" w:ascii="宋体" w:hAnsi="宋体" w:eastAsia="宋体" w:cs="宋体"/>
                <w:color w:val="000000"/>
                <w:kern w:val="0"/>
                <w:sz w:val="22"/>
                <w:szCs w:val="22"/>
                <w:lang w:eastAsia="zh-CN"/>
              </w:rPr>
              <w:t>20</w:t>
            </w:r>
            <w:r>
              <w:rPr>
                <w:rFonts w:hint="eastAsia" w:ascii="宋体" w:hAnsi="宋体" w:eastAsia="宋体" w:cs="宋体"/>
                <w:color w:val="000000"/>
                <w:kern w:val="0"/>
                <w:sz w:val="22"/>
                <w:szCs w:val="22"/>
                <w:lang w:val="en-US" w:eastAsia="zh-CN"/>
              </w:rPr>
              <w:t>21年1月1日</w:t>
            </w:r>
            <w:r>
              <w:rPr>
                <w:rFonts w:hint="eastAsia" w:ascii="宋体" w:hAnsi="宋体" w:eastAsia="宋体" w:cs="宋体"/>
                <w:color w:val="000000"/>
                <w:sz w:val="22"/>
                <w:szCs w:val="22"/>
                <w:lang w:eastAsia="zh-CN"/>
              </w:rPr>
              <w:t>起至</w:t>
            </w:r>
            <w:r>
              <w:rPr>
                <w:rFonts w:hint="eastAsia" w:ascii="宋体" w:hAnsi="宋体" w:eastAsia="宋体" w:cs="宋体"/>
                <w:color w:val="000000"/>
                <w:kern w:val="0"/>
                <w:sz w:val="22"/>
                <w:szCs w:val="22"/>
                <w:lang w:eastAsia="zh-CN"/>
              </w:rPr>
              <w:t>202</w:t>
            </w: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lang w:eastAsia="zh-CN"/>
              </w:rPr>
              <w:t>年</w:t>
            </w:r>
            <w:r>
              <w:rPr>
                <w:rFonts w:hint="eastAsia" w:ascii="宋体" w:hAnsi="宋体" w:eastAsia="宋体" w:cs="宋体"/>
                <w:color w:val="000000"/>
                <w:kern w:val="0"/>
                <w:sz w:val="22"/>
                <w:szCs w:val="22"/>
                <w:lang w:val="en-US" w:eastAsia="zh-CN"/>
              </w:rPr>
              <w:t>12月31日止，</w:t>
            </w:r>
            <w:r>
              <w:rPr>
                <w:rFonts w:hint="eastAsia" w:ascii="宋体" w:hAnsi="宋体" w:eastAsia="宋体" w:cs="宋体"/>
                <w:color w:val="000000"/>
                <w:kern w:val="0"/>
                <w:sz w:val="22"/>
                <w:szCs w:val="22"/>
                <w:lang w:eastAsia="zh-CN"/>
              </w:rPr>
              <w:t>根据投标人在银行间市场交易商协会承销的债券累计金额（含联席承销）排名</w:t>
            </w: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lang w:eastAsia="zh-CN"/>
              </w:rPr>
              <w:t>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1-5名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lang w:eastAsia="zh-CN"/>
              </w:rPr>
              <w:t>分；排名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6-10名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4</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lang w:eastAsia="zh-CN"/>
              </w:rPr>
              <w:t>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11名之后</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lang w:eastAsia="zh-CN"/>
              </w:rPr>
              <w:t>分</w:t>
            </w:r>
            <w:r>
              <w:rPr>
                <w:rFonts w:hint="eastAsia" w:ascii="宋体" w:hAnsi="宋体" w:eastAsia="宋体" w:cs="宋体"/>
                <w:color w:val="000000"/>
                <w:kern w:val="0"/>
                <w:sz w:val="22"/>
                <w:szCs w:val="22"/>
                <w:lang w:val="en-US" w:eastAsia="zh-CN"/>
              </w:rPr>
              <w:t>。</w:t>
            </w:r>
          </w:p>
          <w:p>
            <w:pPr>
              <w:pStyle w:val="7"/>
              <w:ind w:left="0" w:leftChars="0" w:firstLine="0" w:firstLineChars="0"/>
              <w:rPr>
                <w:rFonts w:hint="eastAsia" w:ascii="宋体" w:hAnsi="宋体" w:eastAsia="宋体" w:cs="宋体"/>
                <w:sz w:val="22"/>
                <w:szCs w:val="22"/>
                <w:lang w:eastAsia="zh-CN"/>
              </w:rPr>
            </w:pPr>
            <w:r>
              <w:rPr>
                <w:rFonts w:hint="eastAsia" w:ascii="宋体" w:hAnsi="宋体" w:eastAsia="宋体" w:cs="宋体"/>
                <w:sz w:val="22"/>
                <w:szCs w:val="22"/>
                <w:lang w:val="en-US" w:eastAsia="zh-CN"/>
              </w:rPr>
              <w:t>12.</w:t>
            </w:r>
            <w:r>
              <w:rPr>
                <w:rFonts w:hint="eastAsia" w:ascii="宋体" w:hAnsi="宋体" w:eastAsia="宋体" w:cs="宋体"/>
                <w:sz w:val="22"/>
                <w:szCs w:val="22"/>
                <w:lang w:eastAsia="zh-CN"/>
              </w:rPr>
              <w:t>区域</w:t>
            </w:r>
            <w:r>
              <w:rPr>
                <w:rFonts w:hint="eastAsia" w:ascii="宋体" w:hAnsi="宋体" w:eastAsia="宋体" w:cs="宋体"/>
                <w:sz w:val="22"/>
                <w:szCs w:val="22"/>
                <w:lang w:val="en-US" w:eastAsia="zh-CN"/>
              </w:rPr>
              <w:t>发行</w:t>
            </w:r>
            <w:r>
              <w:rPr>
                <w:rFonts w:hint="eastAsia" w:ascii="宋体" w:hAnsi="宋体" w:eastAsia="宋体" w:cs="宋体"/>
                <w:sz w:val="22"/>
                <w:szCs w:val="22"/>
                <w:lang w:eastAsia="zh-CN"/>
              </w:rPr>
              <w:t>支数</w:t>
            </w:r>
            <w:r>
              <w:rPr>
                <w:rFonts w:hint="eastAsia" w:ascii="宋体" w:hAnsi="宋体" w:eastAsia="宋体" w:cs="宋体"/>
                <w:sz w:val="22"/>
                <w:szCs w:val="22"/>
                <w:lang w:val="en-US" w:eastAsia="zh-CN"/>
              </w:rPr>
              <w:t>和发行价格</w:t>
            </w:r>
          </w:p>
          <w:p>
            <w:pPr>
              <w:pStyle w:val="7"/>
              <w:ind w:left="0" w:leftChars="0" w:firstLine="0" w:firstLineChars="0"/>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自</w:t>
            </w:r>
            <w:r>
              <w:rPr>
                <w:rFonts w:hint="eastAsia" w:ascii="宋体" w:hAnsi="宋体" w:eastAsia="宋体" w:cs="宋体"/>
                <w:color w:val="000000"/>
                <w:kern w:val="0"/>
                <w:sz w:val="22"/>
                <w:szCs w:val="22"/>
                <w:lang w:eastAsia="zh-CN"/>
              </w:rPr>
              <w:t>20</w:t>
            </w:r>
            <w:r>
              <w:rPr>
                <w:rFonts w:hint="eastAsia" w:ascii="宋体" w:hAnsi="宋体" w:eastAsia="宋体" w:cs="宋体"/>
                <w:color w:val="000000"/>
                <w:kern w:val="0"/>
                <w:sz w:val="22"/>
                <w:szCs w:val="22"/>
                <w:lang w:val="en-US" w:eastAsia="zh-CN"/>
              </w:rPr>
              <w:t>21年1月1日</w:t>
            </w:r>
            <w:r>
              <w:rPr>
                <w:rFonts w:hint="eastAsia" w:ascii="宋体" w:hAnsi="宋体" w:eastAsia="宋体" w:cs="宋体"/>
                <w:color w:val="000000"/>
                <w:sz w:val="22"/>
                <w:szCs w:val="22"/>
                <w:lang w:eastAsia="zh-CN"/>
              </w:rPr>
              <w:t>起至</w:t>
            </w:r>
            <w:r>
              <w:rPr>
                <w:rFonts w:hint="eastAsia" w:ascii="宋体" w:hAnsi="宋体" w:eastAsia="宋体" w:cs="宋体"/>
                <w:color w:val="000000"/>
                <w:kern w:val="0"/>
                <w:sz w:val="22"/>
                <w:szCs w:val="22"/>
                <w:lang w:eastAsia="zh-CN"/>
              </w:rPr>
              <w:t>202</w:t>
            </w: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lang w:eastAsia="zh-CN"/>
              </w:rPr>
              <w:t>年</w:t>
            </w:r>
            <w:r>
              <w:rPr>
                <w:rFonts w:hint="eastAsia" w:ascii="宋体" w:hAnsi="宋体" w:eastAsia="宋体" w:cs="宋体"/>
                <w:color w:val="000000"/>
                <w:kern w:val="0"/>
                <w:sz w:val="22"/>
                <w:szCs w:val="22"/>
                <w:lang w:val="en-US" w:eastAsia="zh-CN"/>
              </w:rPr>
              <w:t>12月31日止，</w:t>
            </w:r>
            <w:r>
              <w:rPr>
                <w:rFonts w:hint="eastAsia" w:ascii="宋体" w:hAnsi="宋体" w:eastAsia="宋体" w:cs="宋体"/>
                <w:b w:val="0"/>
                <w:bCs w:val="0"/>
                <w:color w:val="000000"/>
                <w:kern w:val="0"/>
                <w:sz w:val="22"/>
                <w:szCs w:val="22"/>
                <w:lang w:val="en-US" w:eastAsia="zh-CN"/>
              </w:rPr>
              <w:t>投标人在</w:t>
            </w:r>
            <w:r>
              <w:rPr>
                <w:rFonts w:hint="eastAsia" w:ascii="宋体" w:hAnsi="宋体" w:eastAsia="宋体" w:cs="宋体"/>
                <w:color w:val="000000"/>
                <w:kern w:val="0"/>
                <w:sz w:val="22"/>
                <w:szCs w:val="22"/>
                <w:lang w:val="en-US" w:eastAsia="zh-CN"/>
              </w:rPr>
              <w:t>安徽省内承销债券累计金额（含联席承销）排名：</w:t>
            </w:r>
            <w:r>
              <w:rPr>
                <w:rFonts w:hint="eastAsia" w:ascii="宋体" w:hAnsi="宋体" w:eastAsia="宋体" w:cs="宋体"/>
                <w:color w:val="000000"/>
                <w:kern w:val="0"/>
                <w:sz w:val="22"/>
                <w:szCs w:val="22"/>
                <w:lang w:eastAsia="zh-CN"/>
              </w:rPr>
              <w:t>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1-5名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lang w:eastAsia="zh-CN"/>
              </w:rPr>
              <w:t>分；排名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6-10名</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4</w:t>
            </w:r>
            <w:r>
              <w:rPr>
                <w:rFonts w:hint="eastAsia" w:ascii="宋体" w:hAnsi="宋体" w:eastAsia="宋体" w:cs="宋体"/>
                <w:color w:val="000000"/>
                <w:kern w:val="0"/>
                <w:sz w:val="22"/>
                <w:szCs w:val="22"/>
                <w:lang w:eastAsia="zh-CN"/>
              </w:rPr>
              <w:t>分；排名</w:t>
            </w:r>
            <w:r>
              <w:rPr>
                <w:rFonts w:hint="eastAsia" w:ascii="宋体" w:hAnsi="宋体" w:eastAsia="宋体" w:cs="宋体"/>
                <w:color w:val="000000"/>
                <w:kern w:val="0"/>
                <w:sz w:val="22"/>
                <w:szCs w:val="22"/>
                <w:lang w:val="en-US" w:eastAsia="zh-CN"/>
              </w:rPr>
              <w:t>第</w:t>
            </w:r>
            <w:r>
              <w:rPr>
                <w:rFonts w:hint="eastAsia" w:ascii="宋体" w:hAnsi="宋体" w:eastAsia="宋体" w:cs="宋体"/>
                <w:color w:val="000000"/>
                <w:kern w:val="0"/>
                <w:sz w:val="22"/>
                <w:szCs w:val="22"/>
                <w:lang w:eastAsia="zh-CN"/>
              </w:rPr>
              <w:t>11名之后</w:t>
            </w:r>
            <w:r>
              <w:rPr>
                <w:rFonts w:hint="eastAsia" w:ascii="宋体" w:hAnsi="宋体" w:eastAsia="宋体" w:cs="宋体"/>
                <w:color w:val="000000"/>
                <w:kern w:val="0"/>
                <w:sz w:val="22"/>
                <w:szCs w:val="22"/>
                <w:lang w:val="en-US" w:eastAsia="zh-CN"/>
              </w:rPr>
              <w:t>的,</w:t>
            </w:r>
            <w:r>
              <w:rPr>
                <w:rFonts w:hint="eastAsia" w:ascii="宋体" w:hAnsi="宋体" w:eastAsia="宋体" w:cs="宋体"/>
                <w:color w:val="000000"/>
                <w:kern w:val="0"/>
                <w:sz w:val="22"/>
                <w:szCs w:val="22"/>
                <w:lang w:eastAsia="zh-CN"/>
              </w:rPr>
              <w:t>得</w:t>
            </w: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lang w:eastAsia="zh-CN"/>
              </w:rPr>
              <w:t>分。</w:t>
            </w:r>
          </w:p>
          <w:p>
            <w:pPr>
              <w:pStyle w:val="7"/>
              <w:ind w:left="0" w:leftChars="0" w:firstLine="0" w:firstLineChars="0"/>
              <w:rPr>
                <w:rFonts w:ascii="宋体" w:hAnsi="宋体" w:eastAsia="宋体" w:cs="宋体"/>
                <w:sz w:val="22"/>
                <w:szCs w:val="22"/>
                <w:lang w:eastAsia="zh-CN"/>
              </w:rPr>
            </w:pPr>
            <w:r>
              <w:rPr>
                <w:rFonts w:hint="eastAsia" w:ascii="宋体" w:hAnsi="宋体" w:eastAsia="宋体" w:cs="宋体"/>
                <w:b w:val="0"/>
                <w:bCs w:val="0"/>
                <w:color w:val="000000"/>
                <w:kern w:val="0"/>
                <w:sz w:val="22"/>
                <w:szCs w:val="22"/>
                <w:lang w:eastAsia="zh-CN"/>
              </w:rPr>
              <w:t>注：</w:t>
            </w:r>
            <w:r>
              <w:rPr>
                <w:rFonts w:hint="eastAsia" w:ascii="宋体" w:hAnsi="宋体" w:eastAsia="宋体" w:cs="宋体"/>
                <w:b w:val="0"/>
                <w:bCs w:val="0"/>
                <w:color w:val="000000"/>
                <w:sz w:val="22"/>
                <w:szCs w:val="22"/>
                <w:lang w:eastAsia="zh-CN"/>
              </w:rPr>
              <w:t>投标文件中需提供Wind截图</w:t>
            </w:r>
            <w:r>
              <w:rPr>
                <w:rFonts w:hint="eastAsia" w:ascii="宋体" w:hAnsi="宋体" w:eastAsia="宋体" w:cs="宋体"/>
                <w:b w:val="0"/>
                <w:bCs w:val="0"/>
                <w:color w:val="000000"/>
                <w:sz w:val="22"/>
                <w:szCs w:val="22"/>
                <w:lang w:val="en-US" w:eastAsia="zh-CN"/>
              </w:rPr>
              <w:t>复印件或影印件</w:t>
            </w:r>
            <w:r>
              <w:rPr>
                <w:rFonts w:hint="eastAsia" w:ascii="宋体" w:hAnsi="宋体" w:eastAsia="宋体" w:cs="宋体"/>
                <w:b w:val="0"/>
                <w:bCs w:val="0"/>
                <w:color w:val="000000"/>
                <w:sz w:val="22"/>
                <w:szCs w:val="22"/>
                <w:lang w:eastAsia="zh-CN"/>
              </w:rPr>
              <w:t>。未提供或提供不符合要求的不得分；</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eastAsia="zh-CN"/>
              </w:rPr>
              <w:t>10</w:t>
            </w:r>
            <w:r>
              <w:rPr>
                <w:rFonts w:hint="eastAsia" w:ascii="宋体" w:hAnsi="宋体" w:eastAsia="宋体" w:cs="宋体"/>
                <w:sz w:val="22"/>
              </w:rPr>
              <w:t>分</w:t>
            </w:r>
          </w:p>
        </w:tc>
      </w:tr>
      <w:tr>
        <w:tblPrEx>
          <w:tblLayout w:type="fixed"/>
          <w:tblCellMar>
            <w:top w:w="0" w:type="dxa"/>
            <w:left w:w="108" w:type="dxa"/>
            <w:bottom w:w="0" w:type="dxa"/>
            <w:right w:w="108" w:type="dxa"/>
          </w:tblCellMar>
        </w:tblPrEx>
        <w:trPr>
          <w:trHeight w:val="65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lang w:eastAsia="zh-CN"/>
              </w:rPr>
            </w:pPr>
            <w:r>
              <w:rPr>
                <w:rFonts w:hint="eastAsia" w:ascii="宋体" w:hAnsi="宋体" w:eastAsia="宋体" w:cs="宋体"/>
                <w:sz w:val="22"/>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ascii="宋体" w:hAnsi="宋体" w:eastAsia="宋体" w:cs="宋体"/>
                <w:sz w:val="22"/>
              </w:rPr>
              <w:t>合作满意度</w:t>
            </w:r>
          </w:p>
        </w:tc>
        <w:tc>
          <w:tcPr>
            <w:tcW w:w="5862" w:type="dxa"/>
            <w:tcBorders>
              <w:top w:val="nil"/>
              <w:left w:val="nil"/>
              <w:bottom w:val="single" w:color="auto" w:sz="4" w:space="0"/>
              <w:right w:val="single" w:color="auto" w:sz="4" w:space="0"/>
            </w:tcBorders>
            <w:shd w:val="clear" w:color="auto" w:fill="auto"/>
            <w:vAlign w:val="center"/>
          </w:tcPr>
          <w:p>
            <w:pPr>
              <w:widowControl w:val="0"/>
              <w:rPr>
                <w:rFonts w:ascii="宋体" w:hAnsi="宋体" w:eastAsia="宋体" w:cs="宋体"/>
                <w:sz w:val="22"/>
                <w:szCs w:val="22"/>
                <w:lang w:eastAsia="zh-CN"/>
              </w:rPr>
            </w:pPr>
            <w:r>
              <w:rPr>
                <w:rFonts w:hint="eastAsia" w:ascii="宋体" w:hAnsi="宋体" w:eastAsia="宋体" w:cs="宋体"/>
                <w:sz w:val="22"/>
                <w:szCs w:val="22"/>
                <w:lang w:val="en-US" w:eastAsia="zh-CN"/>
              </w:rPr>
              <w:t>13.</w:t>
            </w:r>
            <w:r>
              <w:rPr>
                <w:rFonts w:hint="eastAsia" w:ascii="宋体" w:hAnsi="宋体" w:eastAsia="宋体" w:cs="宋体"/>
                <w:sz w:val="22"/>
                <w:szCs w:val="22"/>
                <w:lang w:eastAsia="zh-CN"/>
              </w:rPr>
              <w:t>合作满意度评分，满分</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0分。</w:t>
            </w:r>
            <w:r>
              <w:rPr>
                <w:rFonts w:hint="eastAsia" w:ascii="宋体" w:hAnsi="宋体" w:eastAsia="宋体" w:cs="宋体"/>
                <w:sz w:val="22"/>
                <w:szCs w:val="22"/>
                <w:lang w:val="en-US" w:eastAsia="zh-CN"/>
              </w:rPr>
              <w:t>往期发债价格满意度等。</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0-</w:t>
            </w:r>
            <w:r>
              <w:rPr>
                <w:rFonts w:hint="eastAsia" w:ascii="宋体" w:hAnsi="宋体" w:eastAsia="宋体" w:cs="宋体"/>
                <w:sz w:val="22"/>
                <w:lang w:val="en-US" w:eastAsia="zh-CN"/>
              </w:rPr>
              <w:t>2</w:t>
            </w:r>
            <w:r>
              <w:rPr>
                <w:rFonts w:hint="eastAsia" w:ascii="宋体" w:hAnsi="宋体" w:eastAsia="宋体" w:cs="宋体"/>
                <w:sz w:val="22"/>
              </w:rPr>
              <w:t>0分</w:t>
            </w:r>
          </w:p>
        </w:tc>
      </w:tr>
      <w:tr>
        <w:tblPrEx>
          <w:tblLayout w:type="fixed"/>
          <w:tblCellMar>
            <w:top w:w="0" w:type="dxa"/>
            <w:left w:w="108" w:type="dxa"/>
            <w:bottom w:w="0" w:type="dxa"/>
            <w:right w:w="108" w:type="dxa"/>
          </w:tblCellMar>
        </w:tblPrEx>
        <w:trPr>
          <w:trHeight w:val="58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2"/>
                <w:highlight w:val="yellow"/>
              </w:rPr>
            </w:pPr>
            <w:r>
              <w:rPr>
                <w:rFonts w:hint="eastAsia" w:ascii="宋体" w:hAnsi="宋体" w:eastAsia="宋体" w:cs="宋体"/>
                <w:b/>
                <w:bCs/>
                <w:sz w:val="22"/>
              </w:rPr>
              <w:t>合计</w:t>
            </w:r>
          </w:p>
        </w:tc>
        <w:tc>
          <w:tcPr>
            <w:tcW w:w="5862"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b/>
                <w:bCs/>
                <w:sz w:val="22"/>
                <w:highlight w:val="yellow"/>
              </w:rPr>
            </w:pPr>
            <w:r>
              <w:rPr>
                <w:rFonts w:hint="eastAsia" w:ascii="宋体" w:hAnsi="宋体" w:eastAsia="宋体" w:cs="宋体"/>
                <w:b/>
                <w:bCs/>
                <w:sz w:val="22"/>
              </w:rPr>
              <w:t>　</w:t>
            </w:r>
          </w:p>
        </w:tc>
        <w:tc>
          <w:tcPr>
            <w:tcW w:w="9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sz w:val="22"/>
                <w:highlight w:val="yellow"/>
              </w:rPr>
            </w:pPr>
            <w:r>
              <w:rPr>
                <w:rFonts w:hint="eastAsia" w:ascii="宋体" w:hAnsi="宋体" w:eastAsia="宋体" w:cs="宋体"/>
                <w:b/>
                <w:bCs/>
                <w:sz w:val="22"/>
              </w:rPr>
              <w:t>100分</w:t>
            </w:r>
          </w:p>
        </w:tc>
      </w:tr>
    </w:tbl>
    <w:p>
      <w:pPr>
        <w:ind w:firstLine="640" w:firstLineChars="200"/>
        <w:jc w:val="both"/>
        <w:rPr>
          <w:rFonts w:ascii="黑体" w:hAnsi="黑体" w:eastAsia="黑体"/>
          <w:sz w:val="32"/>
          <w:szCs w:val="32"/>
          <w:lang w:eastAsia="zh-CN"/>
        </w:rPr>
      </w:pPr>
      <w:bookmarkStart w:id="2" w:name="_Toc2512"/>
    </w:p>
    <w:p>
      <w:pPr>
        <w:ind w:firstLine="640" w:firstLineChars="200"/>
        <w:jc w:val="both"/>
        <w:rPr>
          <w:rFonts w:ascii="黑体" w:hAnsi="黑体" w:eastAsia="黑体"/>
          <w:sz w:val="32"/>
          <w:szCs w:val="32"/>
          <w:lang w:eastAsia="zh-CN"/>
        </w:rPr>
      </w:pPr>
    </w:p>
    <w:p>
      <w:pPr>
        <w:ind w:firstLine="640" w:firstLineChars="200"/>
        <w:jc w:val="both"/>
        <w:rPr>
          <w:rFonts w:ascii="黑体" w:hAnsi="黑体" w:eastAsia="黑体"/>
          <w:sz w:val="32"/>
          <w:szCs w:val="32"/>
          <w:lang w:eastAsia="zh-CN"/>
        </w:rPr>
      </w:pPr>
    </w:p>
    <w:p>
      <w:pPr>
        <w:ind w:firstLine="640" w:firstLineChars="200"/>
        <w:jc w:val="both"/>
        <w:rPr>
          <w:rFonts w:ascii="黑体" w:hAnsi="黑体" w:eastAsia="黑体"/>
          <w:sz w:val="32"/>
          <w:szCs w:val="32"/>
          <w:lang w:eastAsia="zh-CN"/>
        </w:rPr>
      </w:pPr>
      <w:r>
        <w:rPr>
          <w:rFonts w:hint="eastAsia" w:ascii="黑体" w:hAnsi="黑体" w:eastAsia="黑体"/>
          <w:sz w:val="32"/>
          <w:szCs w:val="32"/>
          <w:lang w:eastAsia="zh-CN"/>
        </w:rPr>
        <w:t>八、 比选材料格式</w:t>
      </w:r>
      <w:bookmarkEnd w:id="2"/>
    </w:p>
    <w:tbl>
      <w:tblPr>
        <w:tblStyle w:val="11"/>
        <w:tblW w:w="8953" w:type="dxa"/>
        <w:jc w:val="center"/>
        <w:tblInd w:w="0" w:type="dxa"/>
        <w:tblLayout w:type="fixed"/>
        <w:tblCellMar>
          <w:top w:w="0" w:type="dxa"/>
          <w:left w:w="108" w:type="dxa"/>
          <w:bottom w:w="0" w:type="dxa"/>
          <w:right w:w="108" w:type="dxa"/>
        </w:tblCellMar>
      </w:tblPr>
      <w:tblGrid>
        <w:gridCol w:w="1998"/>
        <w:gridCol w:w="1801"/>
        <w:gridCol w:w="3750"/>
        <w:gridCol w:w="1404"/>
      </w:tblGrid>
      <w:tr>
        <w:tblPrEx>
          <w:tblLayout w:type="fixed"/>
          <w:tblCellMar>
            <w:top w:w="0" w:type="dxa"/>
            <w:left w:w="108" w:type="dxa"/>
            <w:bottom w:w="0" w:type="dxa"/>
            <w:right w:w="108"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资料类别</w:t>
            </w:r>
          </w:p>
        </w:tc>
        <w:tc>
          <w:tcPr>
            <w:tcW w:w="180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序号</w:t>
            </w:r>
          </w:p>
        </w:tc>
        <w:tc>
          <w:tcPr>
            <w:tcW w:w="375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资料名称</w:t>
            </w:r>
          </w:p>
        </w:tc>
        <w:tc>
          <w:tcPr>
            <w:tcW w:w="140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备注</w:t>
            </w:r>
          </w:p>
        </w:tc>
      </w:tr>
      <w:tr>
        <w:tblPrEx>
          <w:tblLayout w:type="fixed"/>
          <w:tblCellMar>
            <w:top w:w="0" w:type="dxa"/>
            <w:left w:w="108" w:type="dxa"/>
            <w:bottom w:w="0" w:type="dxa"/>
            <w:right w:w="108" w:type="dxa"/>
          </w:tblCellMar>
        </w:tblPrEx>
        <w:trPr>
          <w:trHeight w:val="567" w:hRule="atLeast"/>
          <w:jc w:val="center"/>
        </w:trPr>
        <w:tc>
          <w:tcPr>
            <w:tcW w:w="1998" w:type="dxa"/>
            <w:vMerge w:val="restart"/>
            <w:tcBorders>
              <w:top w:val="nil"/>
              <w:left w:val="single" w:color="auto" w:sz="4" w:space="0"/>
              <w:right w:val="single" w:color="auto" w:sz="4" w:space="0"/>
            </w:tcBorders>
            <w:shd w:val="clear" w:color="auto" w:fill="auto"/>
            <w:vAlign w:val="center"/>
          </w:tcPr>
          <w:p>
            <w:pPr>
              <w:widowControl/>
              <w:rPr>
                <w:rFonts w:ascii="仿宋" w:hAnsi="仿宋" w:eastAsia="仿宋" w:cs="宋体"/>
                <w:sz w:val="28"/>
                <w:szCs w:val="28"/>
              </w:rPr>
            </w:pPr>
            <w:r>
              <w:rPr>
                <w:rFonts w:hint="eastAsia" w:ascii="仿宋" w:hAnsi="仿宋" w:eastAsia="仿宋" w:cs="宋体"/>
                <w:sz w:val="28"/>
                <w:szCs w:val="28"/>
              </w:rPr>
              <w:t>资格审查文件</w:t>
            </w:r>
          </w:p>
        </w:tc>
        <w:tc>
          <w:tcPr>
            <w:tcW w:w="180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附件1</w:t>
            </w:r>
          </w:p>
        </w:tc>
        <w:tc>
          <w:tcPr>
            <w:tcW w:w="3750"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比选确认函</w:t>
            </w:r>
          </w:p>
        </w:tc>
        <w:tc>
          <w:tcPr>
            <w:tcW w:w="1404"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　</w:t>
            </w:r>
          </w:p>
        </w:tc>
      </w:tr>
      <w:tr>
        <w:tblPrEx>
          <w:tblLayout w:type="fixed"/>
          <w:tblCellMar>
            <w:top w:w="0" w:type="dxa"/>
            <w:left w:w="108" w:type="dxa"/>
            <w:bottom w:w="0" w:type="dxa"/>
            <w:right w:w="108" w:type="dxa"/>
          </w:tblCellMar>
        </w:tblPrEx>
        <w:trPr>
          <w:trHeight w:val="567" w:hRule="atLeast"/>
          <w:jc w:val="center"/>
        </w:trPr>
        <w:tc>
          <w:tcPr>
            <w:tcW w:w="1998" w:type="dxa"/>
            <w:vMerge w:val="continue"/>
            <w:tcBorders>
              <w:left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p>
        </w:tc>
        <w:tc>
          <w:tcPr>
            <w:tcW w:w="180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附件2</w:t>
            </w:r>
          </w:p>
        </w:tc>
        <w:tc>
          <w:tcPr>
            <w:tcW w:w="3750"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比选申请人信用承诺</w:t>
            </w:r>
          </w:p>
        </w:tc>
        <w:tc>
          <w:tcPr>
            <w:tcW w:w="1404"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　</w:t>
            </w:r>
          </w:p>
        </w:tc>
      </w:tr>
      <w:tr>
        <w:tblPrEx>
          <w:tblLayout w:type="fixed"/>
          <w:tblCellMar>
            <w:top w:w="0" w:type="dxa"/>
            <w:left w:w="108" w:type="dxa"/>
            <w:bottom w:w="0" w:type="dxa"/>
            <w:right w:w="108" w:type="dxa"/>
          </w:tblCellMar>
        </w:tblPrEx>
        <w:trPr>
          <w:trHeight w:val="567" w:hRule="atLeast"/>
          <w:jc w:val="center"/>
        </w:trPr>
        <w:tc>
          <w:tcPr>
            <w:tcW w:w="1998" w:type="dxa"/>
            <w:vMerge w:val="continue"/>
            <w:tcBorders>
              <w:left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p>
        </w:tc>
        <w:tc>
          <w:tcPr>
            <w:tcW w:w="180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附件3</w:t>
            </w:r>
          </w:p>
        </w:tc>
        <w:tc>
          <w:tcPr>
            <w:tcW w:w="3750"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lang w:eastAsia="zh-CN"/>
              </w:rPr>
            </w:pPr>
            <w:r>
              <w:rPr>
                <w:rFonts w:hint="eastAsia" w:ascii="仿宋" w:hAnsi="仿宋" w:eastAsia="仿宋" w:cs="宋体"/>
                <w:sz w:val="28"/>
                <w:szCs w:val="28"/>
                <w:lang w:eastAsia="zh-CN"/>
              </w:rPr>
              <w:t>比选申请人业绩承诺函</w:t>
            </w:r>
          </w:p>
        </w:tc>
        <w:tc>
          <w:tcPr>
            <w:tcW w:w="1404"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lang w:eastAsia="zh-CN"/>
              </w:rPr>
            </w:pPr>
          </w:p>
        </w:tc>
      </w:tr>
      <w:tr>
        <w:tblPrEx>
          <w:tblLayout w:type="fixed"/>
          <w:tblCellMar>
            <w:top w:w="0" w:type="dxa"/>
            <w:left w:w="108" w:type="dxa"/>
            <w:bottom w:w="0" w:type="dxa"/>
            <w:right w:w="108" w:type="dxa"/>
          </w:tblCellMar>
        </w:tblPrEx>
        <w:trPr>
          <w:trHeight w:val="567" w:hRule="atLeast"/>
          <w:jc w:val="center"/>
        </w:trPr>
        <w:tc>
          <w:tcPr>
            <w:tcW w:w="1998" w:type="dxa"/>
            <w:vMerge w:val="continue"/>
            <w:tcBorders>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lang w:eastAsia="zh-CN"/>
              </w:rPr>
            </w:pPr>
          </w:p>
        </w:tc>
        <w:tc>
          <w:tcPr>
            <w:tcW w:w="1801"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附件4</w:t>
            </w:r>
          </w:p>
        </w:tc>
        <w:tc>
          <w:tcPr>
            <w:tcW w:w="3750"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授权书</w:t>
            </w:r>
          </w:p>
        </w:tc>
        <w:tc>
          <w:tcPr>
            <w:tcW w:w="1404" w:type="dxa"/>
            <w:tcBorders>
              <w:top w:val="nil"/>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　</w:t>
            </w:r>
          </w:p>
        </w:tc>
      </w:tr>
      <w:tr>
        <w:tblPrEx>
          <w:tblLayout w:type="fixed"/>
          <w:tblCellMar>
            <w:top w:w="0" w:type="dxa"/>
            <w:left w:w="108" w:type="dxa"/>
            <w:bottom w:w="0" w:type="dxa"/>
            <w:right w:w="108" w:type="dxa"/>
          </w:tblCellMar>
        </w:tblPrEx>
        <w:trPr>
          <w:trHeight w:val="567" w:hRule="atLeast"/>
          <w:jc w:val="center"/>
        </w:trPr>
        <w:tc>
          <w:tcPr>
            <w:tcW w:w="1998" w:type="dxa"/>
            <w:vMerge w:val="restart"/>
            <w:tcBorders>
              <w:top w:val="single" w:color="auto" w:sz="4" w:space="0"/>
              <w:left w:val="single" w:color="auto" w:sz="4" w:space="0"/>
              <w:right w:val="single" w:color="auto" w:sz="4" w:space="0"/>
            </w:tcBorders>
            <w:shd w:val="clear" w:color="auto" w:fill="auto"/>
            <w:vAlign w:val="center"/>
          </w:tcPr>
          <w:p>
            <w:pPr>
              <w:widowControl/>
              <w:rPr>
                <w:rFonts w:ascii="仿宋" w:hAnsi="仿宋" w:eastAsia="仿宋" w:cs="宋体"/>
                <w:sz w:val="28"/>
                <w:szCs w:val="28"/>
                <w:lang w:eastAsia="zh-CN"/>
              </w:rPr>
            </w:pPr>
            <w:r>
              <w:rPr>
                <w:rFonts w:hint="eastAsia" w:ascii="仿宋" w:hAnsi="仿宋" w:eastAsia="仿宋" w:cs="宋体"/>
                <w:sz w:val="28"/>
                <w:szCs w:val="28"/>
              </w:rPr>
              <w:t>综合评分文件</w:t>
            </w:r>
          </w:p>
          <w:p>
            <w:pPr>
              <w:widowControl/>
              <w:jc w:val="center"/>
              <w:rPr>
                <w:rFonts w:ascii="仿宋" w:hAnsi="仿宋" w:eastAsia="仿宋" w:cs="宋体"/>
                <w:sz w:val="28"/>
                <w:szCs w:val="28"/>
                <w:lang w:eastAsia="zh-CN"/>
              </w:rPr>
            </w:pPr>
            <w:r>
              <w:rPr>
                <w:rFonts w:hint="eastAsia" w:ascii="仿宋" w:hAnsi="仿宋" w:eastAsia="仿宋" w:cs="宋体"/>
                <w:sz w:val="28"/>
                <w:szCs w:val="28"/>
                <w:lang w:eastAsia="zh-CN"/>
              </w:rPr>
              <w:t>（ 6份 ）</w:t>
            </w:r>
          </w:p>
        </w:tc>
        <w:tc>
          <w:tcPr>
            <w:tcW w:w="180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r>
              <w:rPr>
                <w:rFonts w:hint="eastAsia" w:ascii="仿宋" w:hAnsi="仿宋" w:eastAsia="仿宋" w:cs="宋体"/>
                <w:sz w:val="28"/>
                <w:szCs w:val="28"/>
              </w:rPr>
              <w:t>附件5</w:t>
            </w:r>
          </w:p>
        </w:tc>
        <w:tc>
          <w:tcPr>
            <w:tcW w:w="3750" w:type="dxa"/>
            <w:tcBorders>
              <w:top w:val="single" w:color="auto" w:sz="4" w:space="0"/>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报价一览表</w:t>
            </w:r>
          </w:p>
        </w:tc>
        <w:tc>
          <w:tcPr>
            <w:tcW w:w="1404" w:type="dxa"/>
            <w:tcBorders>
              <w:top w:val="single" w:color="auto" w:sz="4" w:space="0"/>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　</w:t>
            </w:r>
          </w:p>
        </w:tc>
      </w:tr>
      <w:tr>
        <w:tblPrEx>
          <w:tblLayout w:type="fixed"/>
          <w:tblCellMar>
            <w:top w:w="0" w:type="dxa"/>
            <w:left w:w="108" w:type="dxa"/>
            <w:bottom w:w="0" w:type="dxa"/>
            <w:right w:w="108" w:type="dxa"/>
          </w:tblCellMar>
        </w:tblPrEx>
        <w:trPr>
          <w:trHeight w:val="620" w:hRule="atLeast"/>
          <w:jc w:val="center"/>
        </w:trPr>
        <w:tc>
          <w:tcPr>
            <w:tcW w:w="1998" w:type="dxa"/>
            <w:vMerge w:val="continue"/>
            <w:tcBorders>
              <w:left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p>
        </w:tc>
        <w:tc>
          <w:tcPr>
            <w:tcW w:w="180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lang w:eastAsia="zh-CN"/>
              </w:rPr>
            </w:pPr>
            <w:r>
              <w:rPr>
                <w:rFonts w:hint="eastAsia" w:ascii="仿宋" w:hAnsi="仿宋" w:eastAsia="仿宋" w:cs="宋体"/>
                <w:sz w:val="28"/>
                <w:szCs w:val="28"/>
              </w:rPr>
              <w:t>附件</w:t>
            </w:r>
            <w:r>
              <w:rPr>
                <w:rFonts w:hint="eastAsia" w:ascii="仿宋" w:hAnsi="仿宋" w:eastAsia="仿宋" w:cs="宋体"/>
                <w:sz w:val="28"/>
                <w:szCs w:val="28"/>
                <w:lang w:val="en-US" w:eastAsia="zh-CN"/>
              </w:rPr>
              <w:t>6</w:t>
            </w:r>
          </w:p>
        </w:tc>
        <w:tc>
          <w:tcPr>
            <w:tcW w:w="3750" w:type="dxa"/>
            <w:tcBorders>
              <w:top w:val="single" w:color="auto" w:sz="4" w:space="0"/>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承销服务方案</w:t>
            </w:r>
          </w:p>
        </w:tc>
        <w:tc>
          <w:tcPr>
            <w:tcW w:w="140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仿宋" w:eastAsia="仿宋_GB2312" w:cs="宋体"/>
                <w:sz w:val="21"/>
                <w:szCs w:val="21"/>
                <w:lang w:eastAsia="zh-CN"/>
              </w:rPr>
            </w:pPr>
          </w:p>
        </w:tc>
      </w:tr>
      <w:tr>
        <w:tblPrEx>
          <w:tblLayout w:type="fixed"/>
          <w:tblCellMar>
            <w:top w:w="0" w:type="dxa"/>
            <w:left w:w="108" w:type="dxa"/>
            <w:bottom w:w="0" w:type="dxa"/>
            <w:right w:w="108" w:type="dxa"/>
          </w:tblCellMar>
        </w:tblPrEx>
        <w:trPr>
          <w:trHeight w:val="620" w:hRule="atLeast"/>
          <w:jc w:val="center"/>
        </w:trPr>
        <w:tc>
          <w:tcPr>
            <w:tcW w:w="1998" w:type="dxa"/>
            <w:vMerge w:val="continue"/>
            <w:tcBorders>
              <w:left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sz w:val="28"/>
                <w:szCs w:val="28"/>
              </w:rPr>
            </w:pPr>
            <w:r>
              <w:rPr>
                <w:rFonts w:hint="eastAsia" w:ascii="仿宋" w:hAnsi="仿宋" w:eastAsia="仿宋" w:cs="宋体"/>
                <w:sz w:val="28"/>
                <w:szCs w:val="28"/>
              </w:rPr>
              <w:t>附件</w:t>
            </w:r>
            <w:r>
              <w:rPr>
                <w:rFonts w:hint="eastAsia" w:ascii="仿宋" w:hAnsi="仿宋" w:eastAsia="仿宋" w:cs="宋体"/>
                <w:sz w:val="28"/>
                <w:szCs w:val="28"/>
                <w:lang w:val="en-US" w:eastAsia="zh-CN"/>
              </w:rPr>
              <w:t>7</w:t>
            </w:r>
          </w:p>
        </w:tc>
        <w:tc>
          <w:tcPr>
            <w:tcW w:w="3750" w:type="dxa"/>
            <w:tcBorders>
              <w:top w:val="single" w:color="auto" w:sz="4" w:space="0"/>
              <w:left w:val="nil"/>
              <w:bottom w:val="single" w:color="auto" w:sz="4" w:space="0"/>
              <w:right w:val="single" w:color="auto" w:sz="4" w:space="0"/>
            </w:tcBorders>
            <w:shd w:val="clear" w:color="auto" w:fill="auto"/>
            <w:vAlign w:val="bottom"/>
          </w:tcPr>
          <w:p>
            <w:pPr>
              <w:widowControl/>
              <w:rPr>
                <w:rFonts w:hint="eastAsia" w:ascii="仿宋" w:hAnsi="仿宋" w:eastAsia="仿宋" w:cs="宋体"/>
                <w:sz w:val="28"/>
                <w:szCs w:val="28"/>
                <w:lang w:val="en-US" w:eastAsia="zh-CN"/>
              </w:rPr>
            </w:pPr>
            <w:r>
              <w:rPr>
                <w:rFonts w:hint="eastAsia" w:ascii="仿宋" w:hAnsi="仿宋" w:eastAsia="仿宋" w:cs="宋体"/>
                <w:sz w:val="28"/>
                <w:szCs w:val="28"/>
              </w:rPr>
              <w:t>债券余额包销的承诺函</w:t>
            </w:r>
            <w:r>
              <w:rPr>
                <w:rFonts w:hint="eastAsia" w:ascii="仿宋" w:hAnsi="仿宋" w:eastAsia="仿宋" w:cs="宋体"/>
                <w:sz w:val="28"/>
                <w:szCs w:val="28"/>
                <w:lang w:val="en-US" w:eastAsia="zh-CN"/>
              </w:rPr>
              <w:t>、</w:t>
            </w:r>
            <w:r>
              <w:rPr>
                <w:rFonts w:hint="eastAsia" w:ascii="仿宋" w:hAnsi="仿宋" w:eastAsia="仿宋" w:cs="宋体"/>
                <w:sz w:val="28"/>
                <w:szCs w:val="28"/>
                <w:lang w:eastAsia="zh-CN"/>
              </w:rPr>
              <w:t>履约保障承诺函</w:t>
            </w:r>
          </w:p>
        </w:tc>
        <w:tc>
          <w:tcPr>
            <w:tcW w:w="140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仿宋" w:eastAsia="仿宋_GB2312" w:cs="宋体"/>
                <w:sz w:val="21"/>
                <w:szCs w:val="21"/>
                <w:lang w:eastAsia="zh-CN"/>
              </w:rPr>
            </w:pPr>
          </w:p>
        </w:tc>
      </w:tr>
      <w:tr>
        <w:tblPrEx>
          <w:tblLayout w:type="fixed"/>
          <w:tblCellMar>
            <w:top w:w="0" w:type="dxa"/>
            <w:left w:w="108" w:type="dxa"/>
            <w:bottom w:w="0" w:type="dxa"/>
            <w:right w:w="108" w:type="dxa"/>
          </w:tblCellMar>
        </w:tblPrEx>
        <w:trPr>
          <w:trHeight w:val="567" w:hRule="atLeast"/>
          <w:jc w:val="center"/>
        </w:trPr>
        <w:tc>
          <w:tcPr>
            <w:tcW w:w="1998" w:type="dxa"/>
            <w:vMerge w:val="continue"/>
            <w:tcBorders>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lang w:eastAsia="zh-CN"/>
              </w:rPr>
            </w:pPr>
          </w:p>
        </w:tc>
        <w:tc>
          <w:tcPr>
            <w:tcW w:w="180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lang w:eastAsia="zh-CN"/>
              </w:rPr>
            </w:pPr>
            <w:r>
              <w:rPr>
                <w:rFonts w:hint="eastAsia" w:ascii="仿宋" w:hAnsi="仿宋" w:eastAsia="仿宋" w:cs="宋体"/>
                <w:sz w:val="28"/>
                <w:szCs w:val="28"/>
              </w:rPr>
              <w:t>附件</w:t>
            </w:r>
            <w:r>
              <w:rPr>
                <w:rFonts w:hint="eastAsia" w:ascii="仿宋" w:hAnsi="仿宋" w:eastAsia="仿宋" w:cs="宋体"/>
                <w:sz w:val="28"/>
                <w:szCs w:val="28"/>
                <w:lang w:val="en-US" w:eastAsia="zh-CN"/>
              </w:rPr>
              <w:t>8</w:t>
            </w:r>
          </w:p>
        </w:tc>
        <w:tc>
          <w:tcPr>
            <w:tcW w:w="3750" w:type="dxa"/>
            <w:tcBorders>
              <w:top w:val="single" w:color="auto" w:sz="4" w:space="0"/>
              <w:left w:val="nil"/>
              <w:bottom w:val="single" w:color="auto" w:sz="4" w:space="0"/>
              <w:right w:val="single" w:color="auto" w:sz="4" w:space="0"/>
            </w:tcBorders>
            <w:shd w:val="clear" w:color="auto" w:fill="auto"/>
            <w:vAlign w:val="bottom"/>
          </w:tcPr>
          <w:p>
            <w:pPr>
              <w:widowControl/>
              <w:rPr>
                <w:rFonts w:ascii="仿宋" w:hAnsi="仿宋" w:eastAsia="仿宋" w:cs="宋体"/>
                <w:sz w:val="28"/>
                <w:szCs w:val="28"/>
              </w:rPr>
            </w:pPr>
            <w:r>
              <w:rPr>
                <w:rFonts w:hint="eastAsia" w:ascii="仿宋" w:hAnsi="仿宋" w:eastAsia="仿宋" w:cs="宋体"/>
                <w:sz w:val="28"/>
                <w:szCs w:val="28"/>
              </w:rPr>
              <w:t>其他证明材料</w:t>
            </w:r>
          </w:p>
        </w:tc>
        <w:tc>
          <w:tcPr>
            <w:tcW w:w="140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s="宋体"/>
                <w:sz w:val="28"/>
                <w:szCs w:val="28"/>
              </w:rPr>
            </w:pPr>
          </w:p>
        </w:tc>
      </w:tr>
    </w:tbl>
    <w:p>
      <w:pPr>
        <w:rPr>
          <w:rFonts w:ascii="仿宋" w:hAnsi="仿宋" w:eastAsia="仿宋"/>
          <w:sz w:val="28"/>
          <w:szCs w:val="28"/>
          <w:lang w:eastAsia="zh-CN"/>
        </w:rPr>
      </w:pPr>
    </w:p>
    <w:p>
      <w:pPr>
        <w:pStyle w:val="7"/>
        <w:rPr>
          <w:lang w:eastAsia="zh-CN"/>
        </w:rPr>
      </w:pPr>
    </w:p>
    <w:p>
      <w:pPr>
        <w:rPr>
          <w:rFonts w:ascii="仿宋" w:hAnsi="仿宋" w:eastAsia="仿宋"/>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ascii="仿宋" w:hAnsi="仿宋" w:eastAsia="仿宋"/>
          <w:lang w:eastAsia="zh-CN"/>
        </w:rPr>
      </w:pPr>
      <w:r>
        <w:rPr>
          <w:rFonts w:hint="eastAsia" w:ascii="仿宋" w:hAnsi="仿宋" w:eastAsia="仿宋"/>
          <w:lang w:eastAsia="zh-CN"/>
        </w:rPr>
        <w:t>附件1</w:t>
      </w:r>
    </w:p>
    <w:p>
      <w:pPr>
        <w:jc w:val="center"/>
        <w:rPr>
          <w:rFonts w:ascii="仿宋" w:hAnsi="仿宋" w:eastAsia="仿宋"/>
          <w:b/>
          <w:bCs/>
          <w:sz w:val="32"/>
          <w:szCs w:val="32"/>
          <w:lang w:eastAsia="zh-CN"/>
        </w:rPr>
      </w:pPr>
      <w:r>
        <w:rPr>
          <w:rFonts w:hint="eastAsia" w:ascii="仿宋" w:hAnsi="仿宋" w:eastAsia="仿宋"/>
          <w:b/>
          <w:bCs/>
          <w:sz w:val="32"/>
          <w:szCs w:val="32"/>
          <w:lang w:eastAsia="zh-CN"/>
        </w:rPr>
        <w:t>比选确认函</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 xml:space="preserve">致：安徽省农垦集团有限公司 </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根据贵方“安徽省农垦集团有限公司202</w:t>
      </w:r>
      <w:r>
        <w:rPr>
          <w:rFonts w:hint="eastAsia" w:ascii="仿宋" w:hAnsi="仿宋" w:eastAsia="仿宋"/>
          <w:sz w:val="28"/>
          <w:szCs w:val="28"/>
          <w:lang w:val="en-US" w:eastAsia="zh-CN"/>
        </w:rPr>
        <w:t>2</w:t>
      </w:r>
      <w:r>
        <w:rPr>
          <w:rFonts w:hint="eastAsia" w:ascii="仿宋" w:hAnsi="仿宋" w:eastAsia="仿宋"/>
          <w:sz w:val="28"/>
          <w:szCs w:val="28"/>
          <w:lang w:eastAsia="zh-CN"/>
        </w:rPr>
        <w:t>年发行非金融企业债务融资工作”的比选公告，正式授权（姓名）代表比选申请人（比选申请人全称），提交规定形式的比选材料，参与（中期票据或超短期融资券）项目比选。</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据此函，签字人兹宣布同意如下：</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1.我方按比选文件规定提供服务的最终承销费报价费率详见报价一览表，我方完全响应比选文件规定的服务期限及付款方式。</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2.我方根据比选文件的规定，严格履行合同的责任和义务,并保证于比选人要求的日期内完成服务，并通过比选人验收。</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3.我方已详细审核全部比选文件，包括比选文件的答疑、澄清、变更或补充（如有）、参考资料及有关附件，我方正式认可并遵守本次比选文件，并对比选文件各项条款（包括比选时间）、规定及要求均无异议。我方知道必须放弃提出含糊不清或误解的问题的权利。</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4.我方同意从比选文件规定的比选日期起遵循本比选材料，并在比选文件规定的比选材料有效期之前均具有约束力。</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5.我方声明比选材料所提供的一切资料均真实无误、及时、有效。企业运营正常（注册登记信息、年报信息可查）。由于我方提供资料不实而造成的责任和后果由我方承担。我方同意按照贵方提出的要求，提供与比选申请有关的任何证据、数据或资料。</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6.我方承诺若中标，按比选文件要求提供本地化服务。</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7.我方完全理解贵方不一定接受承销费率最低报价的比选申请。</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8.我方同意比选文件规定的付款方式。</w:t>
      </w:r>
    </w:p>
    <w:p>
      <w:pPr>
        <w:ind w:firstLine="560" w:firstLineChars="200"/>
        <w:rPr>
          <w:rFonts w:ascii="仿宋" w:hAnsi="仿宋" w:eastAsia="仿宋"/>
          <w:sz w:val="28"/>
          <w:szCs w:val="28"/>
          <w:u w:val="single"/>
          <w:lang w:eastAsia="zh-CN"/>
        </w:rPr>
      </w:pPr>
      <w:r>
        <w:rPr>
          <w:rFonts w:hint="eastAsia" w:ascii="仿宋" w:hAnsi="仿宋" w:eastAsia="仿宋"/>
          <w:sz w:val="28"/>
          <w:szCs w:val="28"/>
          <w:lang w:eastAsia="zh-CN"/>
        </w:rPr>
        <w:t>9.与本参选有关的通讯地址：</w:t>
      </w:r>
    </w:p>
    <w:p>
      <w:pPr>
        <w:ind w:firstLine="560" w:firstLineChars="200"/>
        <w:rPr>
          <w:rFonts w:ascii="仿宋" w:hAnsi="仿宋" w:eastAsia="仿宋"/>
          <w:sz w:val="28"/>
          <w:szCs w:val="28"/>
          <w:u w:val="single"/>
          <w:lang w:eastAsia="zh-CN"/>
        </w:rPr>
      </w:pPr>
    </w:p>
    <w:p>
      <w:pPr>
        <w:rPr>
          <w:rFonts w:ascii="仿宋" w:hAnsi="仿宋" w:eastAsia="仿宋"/>
          <w:sz w:val="28"/>
          <w:szCs w:val="28"/>
          <w:u w:val="single"/>
          <w:lang w:eastAsia="zh-CN"/>
        </w:rPr>
      </w:pPr>
    </w:p>
    <w:p>
      <w:pPr>
        <w:rPr>
          <w:rFonts w:ascii="仿宋" w:hAnsi="仿宋" w:eastAsia="仿宋"/>
          <w:sz w:val="28"/>
          <w:szCs w:val="28"/>
          <w:u w:val="single"/>
          <w:lang w:eastAsia="zh-CN"/>
        </w:rPr>
      </w:pPr>
    </w:p>
    <w:p>
      <w:pPr>
        <w:rPr>
          <w:rFonts w:ascii="仿宋" w:hAnsi="仿宋" w:eastAsia="仿宋"/>
          <w:sz w:val="28"/>
          <w:szCs w:val="28"/>
          <w:u w:val="single"/>
          <w:lang w:eastAsia="zh-CN"/>
        </w:rPr>
      </w:pPr>
    </w:p>
    <w:p>
      <w:pPr>
        <w:ind w:firstLine="560" w:firstLineChars="200"/>
        <w:rPr>
          <w:rFonts w:ascii="仿宋" w:hAnsi="仿宋" w:eastAsia="仿宋"/>
          <w:sz w:val="28"/>
          <w:szCs w:val="28"/>
          <w:u w:val="single"/>
          <w:lang w:eastAsia="zh-CN"/>
        </w:rPr>
      </w:pPr>
      <w:r>
        <w:rPr>
          <w:rFonts w:hint="eastAsia" w:ascii="仿宋" w:hAnsi="仿宋" w:eastAsia="仿宋"/>
          <w:sz w:val="28"/>
          <w:szCs w:val="28"/>
          <w:lang w:eastAsia="zh-CN"/>
        </w:rPr>
        <w:t>联系人：</w:t>
      </w:r>
    </w:p>
    <w:p>
      <w:pPr>
        <w:ind w:firstLine="560" w:firstLineChars="200"/>
        <w:rPr>
          <w:rFonts w:ascii="仿宋" w:hAnsi="仿宋" w:eastAsia="仿宋"/>
          <w:sz w:val="28"/>
          <w:szCs w:val="28"/>
          <w:u w:val="single"/>
          <w:lang w:eastAsia="zh-CN"/>
        </w:rPr>
      </w:pPr>
      <w:r>
        <w:rPr>
          <w:rFonts w:hint="eastAsia" w:ascii="仿宋" w:hAnsi="仿宋" w:eastAsia="仿宋"/>
          <w:sz w:val="28"/>
          <w:szCs w:val="28"/>
          <w:lang w:eastAsia="zh-CN"/>
        </w:rPr>
        <w:t>电 话： 传 真：</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比选申请人公章： 日 期：</w:t>
      </w: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pStyle w:val="7"/>
        <w:rPr>
          <w:rFonts w:ascii="仿宋" w:hAnsi="仿宋" w:eastAsia="仿宋"/>
          <w:sz w:val="28"/>
          <w:szCs w:val="28"/>
          <w:lang w:eastAsia="zh-CN"/>
        </w:rPr>
      </w:pPr>
    </w:p>
    <w:p>
      <w:pPr>
        <w:pStyle w:val="8"/>
        <w:rPr>
          <w:lang w:eastAsia="zh-CN"/>
        </w:rPr>
      </w:pPr>
    </w:p>
    <w:p>
      <w:pPr>
        <w:pStyle w:val="8"/>
        <w:rPr>
          <w:lang w:eastAsia="zh-CN"/>
        </w:rPr>
      </w:pPr>
    </w:p>
    <w:p>
      <w:pPr>
        <w:pStyle w:val="8"/>
        <w:rPr>
          <w:lang w:eastAsia="zh-CN"/>
        </w:rPr>
      </w:pPr>
    </w:p>
    <w:p>
      <w:pPr>
        <w:rPr>
          <w:rFonts w:ascii="仿宋" w:hAnsi="仿宋" w:eastAsia="仿宋"/>
          <w:sz w:val="28"/>
          <w:szCs w:val="28"/>
          <w:lang w:eastAsia="zh-CN"/>
        </w:rPr>
      </w:pPr>
      <w:bookmarkStart w:id="3" w:name="_GoBack"/>
      <w:bookmarkEnd w:id="3"/>
    </w:p>
    <w:p>
      <w:pPr>
        <w:rPr>
          <w:rFonts w:ascii="仿宋" w:hAnsi="仿宋" w:eastAsia="仿宋"/>
          <w:lang w:eastAsia="zh-CN"/>
        </w:rPr>
      </w:pPr>
      <w:r>
        <w:rPr>
          <w:rFonts w:hint="eastAsia" w:ascii="仿宋" w:hAnsi="仿宋" w:eastAsia="仿宋"/>
          <w:lang w:eastAsia="zh-CN"/>
        </w:rPr>
        <w:t>附件2</w:t>
      </w:r>
    </w:p>
    <w:p>
      <w:pPr>
        <w:jc w:val="center"/>
        <w:rPr>
          <w:rFonts w:ascii="仿宋" w:hAnsi="仿宋" w:eastAsia="仿宋"/>
          <w:b/>
          <w:bCs/>
          <w:sz w:val="32"/>
          <w:szCs w:val="32"/>
          <w:lang w:eastAsia="zh-CN"/>
        </w:rPr>
      </w:pPr>
      <w:r>
        <w:rPr>
          <w:rFonts w:hint="eastAsia" w:ascii="仿宋" w:hAnsi="仿宋" w:eastAsia="仿宋"/>
          <w:b/>
          <w:bCs/>
          <w:sz w:val="32"/>
          <w:szCs w:val="32"/>
          <w:lang w:eastAsia="zh-CN"/>
        </w:rPr>
        <w:t>比选申请人信用承诺</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 xml:space="preserve">致：安徽省农垦集团有限公司 </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我公司承诺：</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1.我公司未被人民法院列入失信被执行人；</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2.我公司和我公司法定代表人和我公司拟派项目经理（项目负责人）均未被人民检察院列入行贿犯罪档案；</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3.我公司未被工商行政管理部门列入企业经营异常名录；</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4.我公司未被税务部门列入重大税收违法案件当事人名单。</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5.我公司 20</w:t>
      </w:r>
      <w:r>
        <w:rPr>
          <w:rFonts w:hint="eastAsia" w:ascii="仿宋" w:hAnsi="仿宋" w:eastAsia="仿宋"/>
          <w:sz w:val="28"/>
          <w:szCs w:val="28"/>
          <w:lang w:val="en-US" w:eastAsia="zh-CN"/>
        </w:rPr>
        <w:t>19</w:t>
      </w:r>
      <w:r>
        <w:rPr>
          <w:rFonts w:hint="eastAsia" w:ascii="仿宋" w:hAnsi="仿宋" w:eastAsia="仿宋"/>
          <w:sz w:val="28"/>
          <w:szCs w:val="28"/>
          <w:lang w:eastAsia="zh-CN"/>
        </w:rPr>
        <w:t>年至今在安徽省内无票据承销业务、债券承销业务不良记录或债券存续期的管理、督导被银行间市场交易商协会等监管机构处罚的记录。</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 xml:space="preserve">6.合同签订前，若我公司具有本项目比选公告比选申请人资格中规定的不良信用记录情形，可取消我公司的中标资格或者不授予合同，所有责任由我公司自行承担。同时，我公司愿意无条件接受监管部门的调查处理。 </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 xml:space="preserve">我公司对以上承诺的真实性承担责任。 </w:t>
      </w:r>
    </w:p>
    <w:p>
      <w:pPr>
        <w:rPr>
          <w:rFonts w:ascii="仿宋" w:hAnsi="仿宋" w:eastAsia="仿宋"/>
          <w:sz w:val="28"/>
          <w:szCs w:val="28"/>
          <w:lang w:eastAsia="zh-CN"/>
        </w:rPr>
      </w:pPr>
    </w:p>
    <w:p>
      <w:pPr>
        <w:ind w:firstLine="5040" w:firstLineChars="1800"/>
        <w:rPr>
          <w:rFonts w:ascii="仿宋" w:hAnsi="仿宋" w:eastAsia="仿宋"/>
          <w:sz w:val="28"/>
          <w:szCs w:val="28"/>
          <w:lang w:eastAsia="zh-CN"/>
        </w:rPr>
      </w:pPr>
      <w:r>
        <w:rPr>
          <w:rFonts w:hint="eastAsia" w:ascii="仿宋" w:hAnsi="仿宋" w:eastAsia="仿宋"/>
          <w:sz w:val="28"/>
          <w:szCs w:val="28"/>
          <w:lang w:eastAsia="zh-CN"/>
        </w:rPr>
        <w:t>比选申请人公章：</w:t>
      </w:r>
    </w:p>
    <w:p>
      <w:pPr>
        <w:ind w:firstLine="5040" w:firstLineChars="1800"/>
        <w:rPr>
          <w:rFonts w:ascii="仿宋" w:hAnsi="仿宋" w:eastAsia="仿宋"/>
          <w:sz w:val="28"/>
          <w:szCs w:val="28"/>
          <w:lang w:eastAsia="zh-CN"/>
        </w:rPr>
      </w:pPr>
      <w:r>
        <w:rPr>
          <w:rFonts w:hint="eastAsia" w:ascii="仿宋" w:hAnsi="仿宋" w:eastAsia="仿宋"/>
          <w:sz w:val="28"/>
          <w:szCs w:val="28"/>
          <w:lang w:eastAsia="zh-CN"/>
        </w:rPr>
        <w:t>日      期：</w:t>
      </w: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sz w:val="28"/>
          <w:szCs w:val="28"/>
          <w:lang w:eastAsia="zh-CN"/>
        </w:rPr>
      </w:pPr>
      <w:r>
        <w:rPr>
          <w:rFonts w:hint="eastAsia" w:ascii="仿宋" w:hAnsi="仿宋" w:eastAsia="仿宋"/>
          <w:lang w:eastAsia="zh-CN"/>
        </w:rPr>
        <w:t>附件3</w:t>
      </w:r>
    </w:p>
    <w:p>
      <w:pPr>
        <w:jc w:val="center"/>
        <w:rPr>
          <w:rFonts w:ascii="仿宋" w:hAnsi="仿宋" w:eastAsia="仿宋"/>
          <w:b/>
          <w:bCs/>
          <w:sz w:val="32"/>
          <w:szCs w:val="32"/>
          <w:lang w:eastAsia="zh-CN"/>
        </w:rPr>
      </w:pPr>
      <w:r>
        <w:rPr>
          <w:rFonts w:hint="eastAsia" w:ascii="仿宋" w:hAnsi="仿宋" w:eastAsia="仿宋"/>
          <w:b/>
          <w:bCs/>
          <w:sz w:val="32"/>
          <w:szCs w:val="32"/>
          <w:lang w:eastAsia="zh-CN"/>
        </w:rPr>
        <w:t>比选申请人业绩承诺函</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致：安徽省农垦集团有限公司</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我公司承诺：本比选材料中提供的业绩均真实有效。若有异议，我公司承诺会在3个工作日内可就以下业绩信息提供(如合同、对应的发票、验收报告或用户评价意见)原件供贵方核对。若被发现存在任何虚假、隐瞒情况，我公司承担由此产生的一切后果。</w:t>
      </w:r>
    </w:p>
    <w:p>
      <w:pPr>
        <w:ind w:firstLine="560" w:firstLineChars="200"/>
        <w:rPr>
          <w:rFonts w:ascii="仿宋" w:hAnsi="仿宋" w:eastAsia="仿宋"/>
          <w:sz w:val="28"/>
          <w:szCs w:val="28"/>
          <w:lang w:eastAsia="zh-CN"/>
        </w:rPr>
      </w:pPr>
    </w:p>
    <w:p>
      <w:pPr>
        <w:wordWrap w:val="0"/>
        <w:ind w:right="560" w:firstLine="5040" w:firstLineChars="1800"/>
        <w:rPr>
          <w:rFonts w:ascii="仿宋" w:hAnsi="仿宋" w:eastAsia="仿宋"/>
          <w:sz w:val="28"/>
          <w:szCs w:val="28"/>
          <w:lang w:eastAsia="zh-CN"/>
        </w:rPr>
      </w:pPr>
      <w:r>
        <w:rPr>
          <w:rFonts w:hint="eastAsia" w:ascii="仿宋" w:hAnsi="仿宋" w:eastAsia="仿宋"/>
          <w:sz w:val="28"/>
          <w:szCs w:val="28"/>
          <w:lang w:eastAsia="zh-CN"/>
        </w:rPr>
        <w:t>比选申请人公章：</w:t>
      </w:r>
    </w:p>
    <w:p>
      <w:pPr>
        <w:wordWrap w:val="0"/>
        <w:ind w:right="560" w:firstLine="5040" w:firstLineChars="1800"/>
        <w:rPr>
          <w:rFonts w:ascii="仿宋" w:hAnsi="仿宋" w:eastAsia="仿宋"/>
          <w:sz w:val="28"/>
          <w:szCs w:val="28"/>
          <w:lang w:eastAsia="zh-CN"/>
        </w:rPr>
      </w:pPr>
      <w:r>
        <w:rPr>
          <w:rFonts w:hint="eastAsia" w:ascii="仿宋" w:hAnsi="仿宋" w:eastAsia="仿宋"/>
          <w:sz w:val="28"/>
          <w:szCs w:val="28"/>
          <w:lang w:eastAsia="zh-CN"/>
        </w:rPr>
        <w:t>日期：</w:t>
      </w:r>
    </w:p>
    <w:p>
      <w:pPr>
        <w:wordWrap w:val="0"/>
        <w:ind w:right="560" w:firstLine="5880" w:firstLineChars="2100"/>
        <w:rPr>
          <w:rFonts w:ascii="仿宋" w:hAnsi="仿宋" w:eastAsia="仿宋"/>
          <w:sz w:val="28"/>
          <w:szCs w:val="28"/>
          <w:lang w:eastAsia="zh-CN"/>
        </w:rPr>
      </w:pPr>
    </w:p>
    <w:tbl>
      <w:tblPr>
        <w:tblStyle w:val="11"/>
        <w:tblW w:w="8633" w:type="dxa"/>
        <w:jc w:val="center"/>
        <w:tblInd w:w="0" w:type="dxa"/>
        <w:tblLayout w:type="fixed"/>
        <w:tblCellMar>
          <w:top w:w="0" w:type="dxa"/>
          <w:left w:w="108" w:type="dxa"/>
          <w:bottom w:w="0" w:type="dxa"/>
          <w:right w:w="108" w:type="dxa"/>
        </w:tblCellMar>
      </w:tblPr>
      <w:tblGrid>
        <w:gridCol w:w="581"/>
        <w:gridCol w:w="861"/>
        <w:gridCol w:w="987"/>
        <w:gridCol w:w="1175"/>
        <w:gridCol w:w="825"/>
        <w:gridCol w:w="749"/>
        <w:gridCol w:w="779"/>
        <w:gridCol w:w="794"/>
        <w:gridCol w:w="1155"/>
        <w:gridCol w:w="727"/>
      </w:tblGrid>
      <w:tr>
        <w:tblPrEx>
          <w:tblLayout w:type="fixed"/>
          <w:tblCellMar>
            <w:top w:w="0" w:type="dxa"/>
            <w:left w:w="108" w:type="dxa"/>
            <w:bottom w:w="0" w:type="dxa"/>
            <w:right w:w="108" w:type="dxa"/>
          </w:tblCellMar>
        </w:tblPrEx>
        <w:trPr>
          <w:trHeight w:val="1005" w:hRule="atLeast"/>
          <w:jc w:val="center"/>
        </w:trPr>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序号</w:t>
            </w:r>
          </w:p>
        </w:tc>
        <w:tc>
          <w:tcPr>
            <w:tcW w:w="8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项目名称</w:t>
            </w:r>
          </w:p>
        </w:tc>
        <w:tc>
          <w:tcPr>
            <w:tcW w:w="9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发行人全称</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注册通知书文号</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发行金额</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发行期限</w:t>
            </w:r>
          </w:p>
        </w:tc>
        <w:tc>
          <w:tcPr>
            <w:tcW w:w="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发行日期</w:t>
            </w:r>
          </w:p>
        </w:tc>
        <w:tc>
          <w:tcPr>
            <w:tcW w:w="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发行利率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lang w:eastAsia="zh-CN"/>
              </w:rPr>
            </w:pPr>
            <w:r>
              <w:rPr>
                <w:rFonts w:hint="eastAsia" w:ascii="宋体" w:hAnsi="宋体" w:eastAsia="宋体" w:cs="宋体"/>
                <w:sz w:val="22"/>
                <w:lang w:eastAsia="zh-CN"/>
              </w:rPr>
              <w:t>独立主承销/联合主承销</w:t>
            </w:r>
          </w:p>
        </w:tc>
        <w:tc>
          <w:tcPr>
            <w:tcW w:w="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 w:val="22"/>
              </w:rPr>
            </w:pPr>
            <w:r>
              <w:rPr>
                <w:rFonts w:hint="eastAsia" w:ascii="宋体" w:hAnsi="宋体" w:eastAsia="宋体" w:cs="宋体"/>
                <w:sz w:val="22"/>
              </w:rPr>
              <w:t>备注</w:t>
            </w:r>
          </w:p>
        </w:tc>
      </w:tr>
      <w:tr>
        <w:tblPrEx>
          <w:tblLayout w:type="fixed"/>
          <w:tblCellMar>
            <w:top w:w="0" w:type="dxa"/>
            <w:left w:w="108" w:type="dxa"/>
            <w:bottom w:w="0" w:type="dxa"/>
            <w:right w:w="108" w:type="dxa"/>
          </w:tblCellMar>
        </w:tblPrEx>
        <w:trPr>
          <w:trHeight w:val="807"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86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98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117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82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4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9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115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2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r>
      <w:tr>
        <w:tblPrEx>
          <w:tblLayout w:type="fixed"/>
          <w:tblCellMar>
            <w:top w:w="0" w:type="dxa"/>
            <w:left w:w="108" w:type="dxa"/>
            <w:bottom w:w="0" w:type="dxa"/>
            <w:right w:w="108" w:type="dxa"/>
          </w:tblCellMar>
        </w:tblPrEx>
        <w:trPr>
          <w:trHeight w:val="822"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86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98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117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82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4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9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115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2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r>
      <w:tr>
        <w:tblPrEx>
          <w:tblLayout w:type="fixed"/>
          <w:tblCellMar>
            <w:top w:w="0" w:type="dxa"/>
            <w:left w:w="108" w:type="dxa"/>
            <w:bottom w:w="0" w:type="dxa"/>
            <w:right w:w="108" w:type="dxa"/>
          </w:tblCellMar>
        </w:tblPrEx>
        <w:trPr>
          <w:trHeight w:val="832" w:hRule="atLeast"/>
          <w:jc w:val="center"/>
        </w:trPr>
        <w:tc>
          <w:tcPr>
            <w:tcW w:w="58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86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98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117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82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4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7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94"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1155"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c>
          <w:tcPr>
            <w:tcW w:w="727"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sz w:val="22"/>
              </w:rPr>
            </w:pPr>
            <w:r>
              <w:rPr>
                <w:rFonts w:hint="eastAsia" w:ascii="宋体" w:hAnsi="宋体" w:eastAsia="宋体" w:cs="宋体"/>
                <w:sz w:val="22"/>
              </w:rPr>
              <w:t>　</w:t>
            </w:r>
          </w:p>
        </w:tc>
      </w:tr>
    </w:tbl>
    <w:p>
      <w:pPr>
        <w:ind w:firstLine="480" w:firstLineChars="200"/>
        <w:rPr>
          <w:rFonts w:ascii="仿宋" w:hAnsi="仿宋" w:eastAsia="仿宋"/>
        </w:rPr>
      </w:pPr>
    </w:p>
    <w:p>
      <w:pPr>
        <w:rPr>
          <w:rFonts w:ascii="仿宋" w:hAnsi="仿宋" w:eastAsia="仿宋"/>
        </w:rPr>
      </w:pPr>
    </w:p>
    <w:p>
      <w:pPr>
        <w:rPr>
          <w:rFonts w:ascii="仿宋" w:hAnsi="仿宋" w:eastAsia="仿宋"/>
          <w:lang w:eastAsia="zh-CN"/>
        </w:rPr>
      </w:pPr>
      <w:r>
        <w:rPr>
          <w:rFonts w:hint="eastAsia" w:ascii="仿宋" w:hAnsi="仿宋" w:eastAsia="仿宋"/>
          <w:lang w:eastAsia="zh-CN"/>
        </w:rPr>
        <w:t>注：表中所列业绩应为比选申请人满足</w:t>
      </w:r>
      <w:r>
        <w:rPr>
          <w:rFonts w:hint="eastAsia" w:ascii="仿宋" w:hAnsi="仿宋" w:eastAsia="仿宋"/>
          <w:b/>
          <w:lang w:eastAsia="zh-CN"/>
        </w:rPr>
        <w:t>超短融</w:t>
      </w:r>
      <w:r>
        <w:rPr>
          <w:rFonts w:hint="eastAsia" w:ascii="仿宋" w:hAnsi="仿宋" w:eastAsia="仿宋"/>
          <w:b/>
          <w:lang w:val="en-US" w:eastAsia="zh-CN"/>
        </w:rPr>
        <w:t>/中票</w:t>
      </w:r>
      <w:r>
        <w:rPr>
          <w:rFonts w:hint="eastAsia" w:ascii="仿宋" w:hAnsi="仿宋" w:eastAsia="仿宋"/>
          <w:lang w:eastAsia="zh-CN"/>
        </w:rPr>
        <w:t>比选文件要求对应的业绩，如比选材料中实际提供证明材料的业绩在表中未填写或与表中填写业绩不匹配，可能导致业绩评审不通过或不得分。</w:t>
      </w:r>
    </w:p>
    <w:p>
      <w:pPr>
        <w:rPr>
          <w:rFonts w:ascii="仿宋" w:hAnsi="仿宋" w:eastAsia="仿宋"/>
          <w:sz w:val="28"/>
          <w:szCs w:val="28"/>
          <w:lang w:eastAsia="zh-CN"/>
        </w:rPr>
      </w:pPr>
    </w:p>
    <w:p>
      <w:pPr>
        <w:rPr>
          <w:rFonts w:ascii="仿宋" w:hAnsi="仿宋" w:eastAsia="仿宋"/>
          <w:sz w:val="28"/>
          <w:szCs w:val="28"/>
          <w:lang w:eastAsia="zh-CN"/>
        </w:rPr>
      </w:pPr>
    </w:p>
    <w:p>
      <w:pPr>
        <w:rPr>
          <w:rFonts w:ascii="仿宋" w:hAnsi="仿宋" w:eastAsia="仿宋"/>
          <w:lang w:eastAsia="zh-CN"/>
        </w:rPr>
      </w:pPr>
    </w:p>
    <w:p>
      <w:pPr>
        <w:rPr>
          <w:rFonts w:ascii="仿宋" w:hAnsi="仿宋" w:eastAsia="仿宋"/>
          <w:sz w:val="28"/>
          <w:szCs w:val="28"/>
          <w:lang w:eastAsia="zh-CN"/>
        </w:rPr>
      </w:pPr>
      <w:r>
        <w:rPr>
          <w:rFonts w:hint="eastAsia" w:ascii="仿宋" w:hAnsi="仿宋" w:eastAsia="仿宋"/>
          <w:lang w:eastAsia="zh-CN"/>
        </w:rPr>
        <w:t>附件4</w:t>
      </w:r>
    </w:p>
    <w:p>
      <w:pPr>
        <w:jc w:val="center"/>
        <w:rPr>
          <w:rFonts w:ascii="仿宋" w:hAnsi="仿宋" w:eastAsia="仿宋"/>
          <w:b/>
          <w:bCs/>
          <w:sz w:val="32"/>
          <w:szCs w:val="32"/>
          <w:lang w:eastAsia="zh-CN"/>
        </w:rPr>
      </w:pPr>
      <w:r>
        <w:rPr>
          <w:rFonts w:hint="eastAsia" w:ascii="仿宋" w:hAnsi="仿宋" w:eastAsia="仿宋"/>
          <w:b/>
          <w:bCs/>
          <w:sz w:val="32"/>
          <w:szCs w:val="32"/>
          <w:lang w:eastAsia="zh-CN"/>
        </w:rPr>
        <w:t>授权委托书</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本授权书声明： 公司授权（比选申请人授权代表姓名、职务，手机号码）代表本公司参加安徽省农垦集团有限公司202</w:t>
      </w:r>
      <w:r>
        <w:rPr>
          <w:rFonts w:hint="eastAsia" w:ascii="仿宋" w:hAnsi="仿宋" w:eastAsia="仿宋"/>
          <w:sz w:val="28"/>
          <w:szCs w:val="28"/>
          <w:lang w:val="en-US" w:eastAsia="zh-CN"/>
        </w:rPr>
        <w:t>2</w:t>
      </w:r>
      <w:r>
        <w:rPr>
          <w:rFonts w:hint="eastAsia" w:ascii="仿宋" w:hAnsi="仿宋" w:eastAsia="仿宋"/>
          <w:sz w:val="28"/>
          <w:szCs w:val="28"/>
          <w:lang w:eastAsia="zh-CN"/>
        </w:rPr>
        <w:t>年发行非金融企业债务融资工作的比选活动，全权代表本公司处理比选过程的一切事宜，包括但不限于：申请比选、接受评选、谈判、签约等。比选申请人授权代表在比选过程中所签署的一切文件和处理与之有关的一切事务，本公司均予以认可并对此承担责任。比选申请人授权代表无转委托权。特此授权。</w:t>
      </w:r>
    </w:p>
    <w:p>
      <w:pPr>
        <w:rPr>
          <w:rFonts w:ascii="仿宋" w:hAnsi="仿宋" w:eastAsia="仿宋"/>
          <w:sz w:val="28"/>
          <w:szCs w:val="28"/>
          <w:lang w:eastAsia="zh-CN"/>
        </w:rPr>
      </w:pPr>
      <w:r>
        <w:rPr>
          <w:rFonts w:hint="eastAsia" w:ascii="仿宋" w:hAnsi="仿宋" w:eastAsia="仿宋"/>
          <w:sz w:val="28"/>
          <w:szCs w:val="28"/>
          <w:lang w:eastAsia="zh-CN"/>
        </w:rPr>
        <w:t>本授权书自出具之日起生效。</w:t>
      </w:r>
    </w:p>
    <w:p>
      <w:pPr>
        <w:rPr>
          <w:rFonts w:ascii="仿宋" w:hAnsi="仿宋" w:eastAsia="仿宋"/>
          <w:sz w:val="28"/>
          <w:szCs w:val="28"/>
          <w:lang w:eastAsia="zh-CN"/>
        </w:rPr>
      </w:pPr>
      <w:r>
        <w:rPr>
          <w:rFonts w:hint="eastAsia" w:ascii="仿宋" w:hAnsi="仿宋" w:eastAsia="仿宋"/>
          <w:sz w:val="28"/>
          <w:szCs w:val="28"/>
          <w:lang w:eastAsia="zh-CN"/>
        </w:rPr>
        <w:t>特此声明。</w:t>
      </w:r>
    </w:p>
    <w:p>
      <w:pPr>
        <w:rPr>
          <w:rFonts w:ascii="仿宋" w:hAnsi="仿宋" w:eastAsia="仿宋"/>
          <w:sz w:val="28"/>
          <w:szCs w:val="28"/>
          <w:lang w:eastAsia="zh-CN"/>
        </w:rPr>
      </w:pPr>
    </w:p>
    <w:p>
      <w:pPr>
        <w:tabs>
          <w:tab w:val="left" w:pos="2115"/>
        </w:tabs>
        <w:rPr>
          <w:rFonts w:ascii="仿宋" w:hAnsi="仿宋" w:eastAsia="仿宋"/>
          <w:sz w:val="28"/>
          <w:szCs w:val="28"/>
          <w:lang w:eastAsia="zh-CN"/>
        </w:rPr>
      </w:pP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68580</wp:posOffset>
                </wp:positionV>
                <wp:extent cx="2247900" cy="1362075"/>
                <wp:effectExtent l="12700" t="12700" r="25400" b="15875"/>
                <wp:wrapNone/>
                <wp:docPr id="2" name="圆角矩形 3"/>
                <wp:cNvGraphicFramePr/>
                <a:graphic xmlns:a="http://schemas.openxmlformats.org/drawingml/2006/main">
                  <a:graphicData uri="http://schemas.microsoft.com/office/word/2010/wordprocessingShape">
                    <wps:wsp>
                      <wps:cNvSpPr/>
                      <wps:spPr>
                        <a:xfrm>
                          <a:off x="0" y="0"/>
                          <a:ext cx="2247900" cy="1362075"/>
                        </a:xfrm>
                        <a:prstGeom prst="roundRect">
                          <a:avLst>
                            <a:gd name="adj" fmla="val 16667"/>
                          </a:avLst>
                        </a:prstGeom>
                        <a:noFill/>
                        <a:ln w="25400" cap="flat" cmpd="sng">
                          <a:solidFill>
                            <a:srgbClr val="243F60"/>
                          </a:solidFill>
                          <a:prstDash val="sysDot"/>
                          <a:headEnd type="none" w="med" len="med"/>
                          <a:tailEnd type="none" w="med" len="med"/>
                        </a:ln>
                        <a:effectLst/>
                      </wps:spPr>
                      <wps:bodyPr anchor="ctr" upright="1"/>
                    </wps:wsp>
                  </a:graphicData>
                </a:graphic>
              </wp:anchor>
            </w:drawing>
          </mc:Choice>
          <mc:Fallback>
            <w:pict>
              <v:roundrect id="圆角矩形 3" o:spid="_x0000_s1026" o:spt="2" style="position:absolute;left:0pt;margin-left:213pt;margin-top:5.4pt;height:107.25pt;width:177pt;z-index:251661312;v-text-anchor:middle;mso-width-relative:page;mso-height-relative:page;" filled="f" stroked="t" coordsize="21600,21600" arcsize="0.166666666666667" o:gfxdata="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Jy6f9kAAAAKAQAADwAAAAAA&#10;AAABACAAAAAiAAAAZHJzL2Rvd25yZXYueG1sUEsBAhQAFAAAAAgAh07iQLqCJxsSAgAA8gMAAA4A&#10;AAAAAAAAAQAgAAAAKAEAAGRycy9lMm9Eb2MueG1sUEsFBgAAAAAGAAYAWQEAAKwFAAAAAA==&#10;">
                <v:fill on="f" focussize="0,0"/>
                <v:stroke weight="2pt" color="#243F60" joinstyle="round" dashstyle="1 1"/>
                <v:imagedata o:title=""/>
                <o:lock v:ext="edit" aspectratio="f"/>
              </v:roundrect>
            </w:pict>
          </mc:Fallback>
        </mc:AlternateContent>
      </w: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68580</wp:posOffset>
                </wp:positionV>
                <wp:extent cx="2247900" cy="1362075"/>
                <wp:effectExtent l="12700" t="12700" r="25400" b="15875"/>
                <wp:wrapNone/>
                <wp:docPr id="1" name="圆角矩形 1"/>
                <wp:cNvGraphicFramePr/>
                <a:graphic xmlns:a="http://schemas.openxmlformats.org/drawingml/2006/main">
                  <a:graphicData uri="http://schemas.microsoft.com/office/word/2010/wordprocessingShape">
                    <wps:wsp>
                      <wps:cNvSpPr/>
                      <wps:spPr>
                        <a:xfrm>
                          <a:off x="0" y="0"/>
                          <a:ext cx="2247900" cy="1362075"/>
                        </a:xfrm>
                        <a:prstGeom prst="roundRect">
                          <a:avLst>
                            <a:gd name="adj" fmla="val 16667"/>
                          </a:avLst>
                        </a:prstGeom>
                        <a:noFill/>
                        <a:ln w="25400" cap="flat" cmpd="sng">
                          <a:solidFill>
                            <a:srgbClr val="243F60"/>
                          </a:solidFill>
                          <a:prstDash val="sysDot"/>
                          <a:headEnd type="none" w="med" len="med"/>
                          <a:tailEnd type="none" w="med" len="med"/>
                        </a:ln>
                        <a:effectLst/>
                      </wps:spPr>
                      <wps:bodyPr anchor="ctr" upright="1"/>
                    </wps:wsp>
                  </a:graphicData>
                </a:graphic>
              </wp:anchor>
            </w:drawing>
          </mc:Choice>
          <mc:Fallback>
            <w:pict>
              <v:roundrect id="_x0000_s1026" o:spid="_x0000_s1026" o:spt="2" style="position:absolute;left:0pt;margin-left:-2.25pt;margin-top:5.4pt;height:107.25pt;width:177pt;z-index:251660288;v-text-anchor:middle;mso-width-relative:page;mso-height-relative:page;" filled="f" stroked="t" coordsize="21600,21600" arcsize="0.166666666666667" o:gfxdata="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9hoVDYAAAACQEAAA8AAAAAAAAA&#10;AQAgAAAAIgAAAGRycy9kb3ducmV2LnhtbFBLAQIUABQAAAAIAIdO4kBcd229EQIAAPIDAAAOAAAA&#10;AAAAAAEAIAAAACcBAABkcnMvZTJvRG9jLnhtbFBLBQYAAAAABgAGAFkBAACqBQAAAAA=&#10;">
                <v:fill on="f" focussize="0,0"/>
                <v:stroke weight="2pt" color="#243F60" joinstyle="round" dashstyle="1 1"/>
                <v:imagedata o:title=""/>
                <o:lock v:ext="edit" aspectratio="f"/>
              </v:roundrect>
            </w:pict>
          </mc:Fallback>
        </mc:AlternateContent>
      </w:r>
    </w:p>
    <w:p>
      <w:pPr>
        <w:tabs>
          <w:tab w:val="left" w:pos="2115"/>
          <w:tab w:val="left" w:pos="4420"/>
        </w:tabs>
        <w:rPr>
          <w:rFonts w:ascii="仿宋" w:hAnsi="仿宋" w:eastAsia="仿宋"/>
          <w:sz w:val="28"/>
          <w:szCs w:val="28"/>
          <w:lang w:eastAsia="zh-CN"/>
        </w:rPr>
      </w:pPr>
      <w:r>
        <w:rPr>
          <w:rFonts w:hint="eastAsia" w:ascii="仿宋" w:hAnsi="仿宋" w:eastAsia="仿宋"/>
          <w:sz w:val="28"/>
          <w:szCs w:val="28"/>
          <w:lang w:eastAsia="zh-CN"/>
        </w:rPr>
        <w:t>授权代表身份证正面</w:t>
      </w:r>
      <w:r>
        <w:rPr>
          <w:rFonts w:ascii="仿宋" w:hAnsi="仿宋" w:eastAsia="仿宋"/>
          <w:sz w:val="28"/>
          <w:szCs w:val="28"/>
          <w:lang w:eastAsia="zh-CN"/>
        </w:rPr>
        <w:tab/>
      </w:r>
      <w:r>
        <w:rPr>
          <w:rFonts w:hint="eastAsia" w:ascii="仿宋" w:hAnsi="仿宋" w:eastAsia="仿宋"/>
          <w:sz w:val="28"/>
          <w:szCs w:val="28"/>
          <w:lang w:eastAsia="zh-CN"/>
        </w:rPr>
        <w:t>授权代表身份证反面</w:t>
      </w:r>
    </w:p>
    <w:p>
      <w:pPr>
        <w:tabs>
          <w:tab w:val="left" w:pos="2115"/>
          <w:tab w:val="left" w:pos="4420"/>
        </w:tabs>
        <w:rPr>
          <w:rFonts w:ascii="仿宋" w:hAnsi="仿宋" w:eastAsia="仿宋"/>
          <w:sz w:val="28"/>
          <w:szCs w:val="28"/>
          <w:lang w:eastAsia="zh-CN"/>
        </w:rPr>
      </w:pPr>
      <w:r>
        <w:rPr>
          <w:rFonts w:hint="eastAsia" w:ascii="仿宋" w:hAnsi="仿宋" w:eastAsia="仿宋"/>
          <w:sz w:val="28"/>
          <w:szCs w:val="28"/>
          <w:lang w:eastAsia="zh-CN"/>
        </w:rPr>
        <w:t>扫描件                          扫描件</w:t>
      </w:r>
    </w:p>
    <w:p>
      <w:pPr>
        <w:rPr>
          <w:rFonts w:ascii="仿宋" w:hAnsi="仿宋" w:eastAsia="仿宋"/>
          <w:sz w:val="28"/>
          <w:szCs w:val="28"/>
          <w:lang w:eastAsia="zh-CN"/>
        </w:rPr>
      </w:pPr>
    </w:p>
    <w:p>
      <w:pPr>
        <w:ind w:firstLine="4200" w:firstLineChars="1500"/>
        <w:rPr>
          <w:rFonts w:ascii="仿宋" w:hAnsi="仿宋" w:eastAsia="仿宋"/>
          <w:sz w:val="28"/>
          <w:szCs w:val="28"/>
          <w:lang w:eastAsia="zh-CN"/>
        </w:rPr>
      </w:pPr>
    </w:p>
    <w:p>
      <w:pPr>
        <w:ind w:firstLine="4200" w:firstLineChars="1500"/>
        <w:rPr>
          <w:rFonts w:ascii="仿宋" w:hAnsi="仿宋" w:eastAsia="仿宋"/>
          <w:sz w:val="28"/>
          <w:szCs w:val="28"/>
          <w:lang w:eastAsia="zh-CN"/>
        </w:rPr>
      </w:pPr>
      <w:r>
        <w:rPr>
          <w:rFonts w:hint="eastAsia" w:ascii="仿宋" w:hAnsi="仿宋" w:eastAsia="仿宋"/>
          <w:sz w:val="28"/>
          <w:szCs w:val="28"/>
          <w:lang w:eastAsia="zh-CN"/>
        </w:rPr>
        <w:t>比选申请人公章：</w:t>
      </w:r>
    </w:p>
    <w:p>
      <w:pPr>
        <w:ind w:firstLine="4200" w:firstLineChars="1500"/>
        <w:rPr>
          <w:rFonts w:ascii="仿宋" w:hAnsi="仿宋" w:eastAsia="仿宋"/>
          <w:sz w:val="28"/>
          <w:szCs w:val="28"/>
          <w:lang w:eastAsia="zh-CN"/>
        </w:rPr>
      </w:pPr>
      <w:r>
        <w:rPr>
          <w:rFonts w:hint="eastAsia" w:ascii="仿宋" w:hAnsi="仿宋" w:eastAsia="仿宋"/>
          <w:sz w:val="28"/>
          <w:szCs w:val="28"/>
          <w:lang w:eastAsia="zh-CN"/>
        </w:rPr>
        <w:t>日      期：</w:t>
      </w:r>
    </w:p>
    <w:p>
      <w:pPr>
        <w:rPr>
          <w:rFonts w:ascii="仿宋" w:hAnsi="仿宋" w:eastAsia="仿宋"/>
          <w:lang w:eastAsia="zh-CN"/>
        </w:rPr>
      </w:pPr>
    </w:p>
    <w:p>
      <w:pPr>
        <w:rPr>
          <w:rFonts w:ascii="仿宋" w:hAnsi="仿宋" w:eastAsia="仿宋"/>
          <w:lang w:eastAsia="zh-CN"/>
        </w:rPr>
      </w:pPr>
    </w:p>
    <w:p>
      <w:pPr>
        <w:rPr>
          <w:rFonts w:ascii="仿宋" w:hAnsi="仿宋" w:eastAsia="仿宋"/>
          <w:lang w:eastAsia="zh-CN"/>
        </w:rPr>
      </w:pPr>
    </w:p>
    <w:p>
      <w:pPr>
        <w:rPr>
          <w:rFonts w:ascii="仿宋" w:hAnsi="仿宋" w:eastAsia="仿宋"/>
          <w:lang w:eastAsia="zh-CN"/>
        </w:rPr>
      </w:pPr>
      <w:r>
        <w:rPr>
          <w:rFonts w:hint="eastAsia" w:ascii="仿宋" w:hAnsi="仿宋" w:eastAsia="仿宋"/>
          <w:lang w:eastAsia="zh-CN"/>
        </w:rPr>
        <w:t>注：1.本项目只允许有唯一的比选申请人授权代表（须与比选确认函中授权代表为同一人，否则参选无效），比选材料中提供授权代表身份证扫描件。</w:t>
      </w:r>
    </w:p>
    <w:p>
      <w:pPr>
        <w:ind w:firstLine="480" w:firstLineChars="200"/>
        <w:rPr>
          <w:rFonts w:ascii="仿宋" w:hAnsi="仿宋" w:eastAsia="仿宋"/>
          <w:lang w:eastAsia="zh-CN"/>
        </w:rPr>
      </w:pPr>
      <w:r>
        <w:rPr>
          <w:rFonts w:hint="eastAsia" w:ascii="仿宋" w:hAnsi="仿宋" w:eastAsia="仿宋"/>
          <w:lang w:eastAsia="zh-CN"/>
        </w:rPr>
        <w:t>2.法定代表人参选的无需此件，但比选材料中须提供身份证扫描件。</w:t>
      </w:r>
    </w:p>
    <w:p>
      <w:pPr>
        <w:rPr>
          <w:rFonts w:ascii="仿宋" w:hAnsi="仿宋" w:eastAsia="仿宋"/>
          <w:lang w:eastAsia="zh-CN"/>
        </w:rPr>
      </w:pPr>
    </w:p>
    <w:p>
      <w:pPr>
        <w:rPr>
          <w:rFonts w:ascii="仿宋" w:hAnsi="仿宋" w:eastAsia="仿宋"/>
        </w:rPr>
      </w:pPr>
      <w:r>
        <w:rPr>
          <w:rFonts w:hint="eastAsia" w:ascii="仿宋" w:hAnsi="仿宋" w:eastAsia="仿宋"/>
        </w:rPr>
        <w:t>附件5</w:t>
      </w:r>
    </w:p>
    <w:p>
      <w:pPr>
        <w:jc w:val="center"/>
        <w:rPr>
          <w:rFonts w:ascii="仿宋" w:hAnsi="仿宋" w:eastAsia="仿宋"/>
          <w:b/>
          <w:bCs/>
          <w:sz w:val="32"/>
          <w:szCs w:val="32"/>
        </w:rPr>
      </w:pPr>
      <w:r>
        <w:rPr>
          <w:rFonts w:hint="eastAsia" w:ascii="仿宋" w:hAnsi="仿宋" w:eastAsia="仿宋"/>
          <w:b/>
          <w:bCs/>
          <w:sz w:val="32"/>
          <w:szCs w:val="32"/>
        </w:rPr>
        <w:t>报价一览表</w:t>
      </w:r>
    </w:p>
    <w:p>
      <w:pPr>
        <w:rPr>
          <w:rFonts w:ascii="仿宋" w:hAnsi="仿宋" w:eastAsia="仿宋"/>
        </w:rPr>
      </w:pPr>
    </w:p>
    <w:tbl>
      <w:tblPr>
        <w:tblStyle w:val="11"/>
        <w:tblW w:w="8519" w:type="dxa"/>
        <w:jc w:val="center"/>
        <w:tblInd w:w="0" w:type="dxa"/>
        <w:tblLayout w:type="fixed"/>
        <w:tblCellMar>
          <w:top w:w="0" w:type="dxa"/>
          <w:left w:w="108" w:type="dxa"/>
          <w:bottom w:w="0" w:type="dxa"/>
          <w:right w:w="108" w:type="dxa"/>
        </w:tblCellMar>
      </w:tblPr>
      <w:tblGrid>
        <w:gridCol w:w="1510"/>
        <w:gridCol w:w="7009"/>
      </w:tblGrid>
      <w:tr>
        <w:tblPrEx>
          <w:tblLayout w:type="fixed"/>
          <w:tblCellMar>
            <w:top w:w="0" w:type="dxa"/>
            <w:left w:w="108" w:type="dxa"/>
            <w:bottom w:w="0" w:type="dxa"/>
            <w:right w:w="108" w:type="dxa"/>
          </w:tblCellMar>
        </w:tblPrEx>
        <w:trPr>
          <w:trHeight w:val="1134" w:hRule="atLeast"/>
          <w:jc w:val="center"/>
        </w:trPr>
        <w:tc>
          <w:tcPr>
            <w:tcW w:w="1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rPr>
            </w:pPr>
            <w:r>
              <w:rPr>
                <w:rFonts w:hint="eastAsia" w:ascii="仿宋" w:hAnsi="仿宋" w:eastAsia="仿宋" w:cs="宋体"/>
              </w:rPr>
              <w:t>项目名称</w:t>
            </w:r>
          </w:p>
        </w:tc>
        <w:tc>
          <w:tcPr>
            <w:tcW w:w="7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lang w:eastAsia="zh-CN"/>
              </w:rPr>
            </w:pPr>
            <w:r>
              <w:rPr>
                <w:rFonts w:hint="eastAsia" w:ascii="仿宋" w:hAnsi="仿宋" w:eastAsia="仿宋" w:cs="宋体"/>
                <w:lang w:eastAsia="zh-CN"/>
              </w:rPr>
              <w:t>安徽省农垦集团有限公司202</w:t>
            </w:r>
            <w:r>
              <w:rPr>
                <w:rFonts w:hint="eastAsia" w:ascii="仿宋" w:hAnsi="仿宋" w:eastAsia="仿宋" w:cs="宋体"/>
                <w:lang w:val="en-US" w:eastAsia="zh-CN"/>
              </w:rPr>
              <w:t>2</w:t>
            </w:r>
            <w:r>
              <w:rPr>
                <w:rFonts w:hint="eastAsia" w:ascii="仿宋" w:hAnsi="仿宋" w:eastAsia="仿宋" w:cs="宋体"/>
                <w:lang w:eastAsia="zh-CN"/>
              </w:rPr>
              <w:t>年发行非金融企业债务融资工作</w:t>
            </w:r>
          </w:p>
        </w:tc>
      </w:tr>
      <w:tr>
        <w:tblPrEx>
          <w:tblLayout w:type="fixed"/>
          <w:tblCellMar>
            <w:top w:w="0" w:type="dxa"/>
            <w:left w:w="108" w:type="dxa"/>
            <w:bottom w:w="0" w:type="dxa"/>
            <w:right w:w="108" w:type="dxa"/>
          </w:tblCellMar>
        </w:tblPrEx>
        <w:trPr>
          <w:trHeight w:val="1134" w:hRule="atLeast"/>
          <w:jc w:val="center"/>
        </w:trPr>
        <w:tc>
          <w:tcPr>
            <w:tcW w:w="1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rPr>
            </w:pPr>
            <w:r>
              <w:rPr>
                <w:rFonts w:hint="eastAsia" w:ascii="仿宋" w:hAnsi="仿宋" w:eastAsia="仿宋" w:cs="宋体"/>
              </w:rPr>
              <w:t>比选申请人全称</w:t>
            </w:r>
          </w:p>
        </w:tc>
        <w:tc>
          <w:tcPr>
            <w:tcW w:w="700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rPr>
            </w:pPr>
            <w:r>
              <w:rPr>
                <w:rFonts w:hint="eastAsia" w:ascii="仿宋" w:hAnsi="仿宋" w:eastAsia="仿宋" w:cs="宋体"/>
              </w:rPr>
              <w:t>　</w:t>
            </w:r>
          </w:p>
        </w:tc>
      </w:tr>
      <w:tr>
        <w:tblPrEx>
          <w:tblLayout w:type="fixed"/>
          <w:tblCellMar>
            <w:top w:w="0" w:type="dxa"/>
            <w:left w:w="108" w:type="dxa"/>
            <w:bottom w:w="0" w:type="dxa"/>
            <w:right w:w="108" w:type="dxa"/>
          </w:tblCellMar>
        </w:tblPrEx>
        <w:trPr>
          <w:trHeight w:val="1134" w:hRule="atLeast"/>
          <w:jc w:val="center"/>
        </w:trPr>
        <w:tc>
          <w:tcPr>
            <w:tcW w:w="1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rPr>
            </w:pPr>
            <w:r>
              <w:rPr>
                <w:rFonts w:hint="eastAsia" w:ascii="仿宋" w:hAnsi="仿宋" w:eastAsia="仿宋" w:cs="宋体"/>
              </w:rPr>
              <w:t>比选申请</w:t>
            </w:r>
          </w:p>
          <w:p>
            <w:pPr>
              <w:widowControl/>
              <w:jc w:val="center"/>
              <w:rPr>
                <w:rFonts w:ascii="仿宋" w:hAnsi="仿宋" w:eastAsia="仿宋" w:cs="宋体"/>
              </w:rPr>
            </w:pPr>
            <w:r>
              <w:rPr>
                <w:rFonts w:hint="eastAsia" w:ascii="仿宋" w:hAnsi="仿宋" w:eastAsia="仿宋" w:cs="宋体"/>
              </w:rPr>
              <w:t>品种</w:t>
            </w:r>
          </w:p>
        </w:tc>
        <w:tc>
          <w:tcPr>
            <w:tcW w:w="70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lang w:eastAsia="zh-CN"/>
              </w:rPr>
            </w:pPr>
            <w:r>
              <w:rPr>
                <w:rFonts w:hint="eastAsia" w:ascii="仿宋" w:hAnsi="仿宋" w:eastAsia="仿宋" w:cs="宋体"/>
                <w:lang w:eastAsia="zh-CN"/>
              </w:rPr>
              <w:t>中期票据/超短期融资券</w:t>
            </w:r>
          </w:p>
        </w:tc>
      </w:tr>
      <w:tr>
        <w:tblPrEx>
          <w:tblLayout w:type="fixed"/>
          <w:tblCellMar>
            <w:top w:w="0" w:type="dxa"/>
            <w:left w:w="108" w:type="dxa"/>
            <w:bottom w:w="0" w:type="dxa"/>
            <w:right w:w="108" w:type="dxa"/>
          </w:tblCellMar>
        </w:tblPrEx>
        <w:trPr>
          <w:trHeight w:val="1134" w:hRule="atLeast"/>
          <w:jc w:val="center"/>
        </w:trPr>
        <w:tc>
          <w:tcPr>
            <w:tcW w:w="1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rPr>
            </w:pPr>
            <w:r>
              <w:rPr>
                <w:rFonts w:hint="eastAsia" w:ascii="仿宋" w:hAnsi="仿宋" w:eastAsia="仿宋" w:cs="宋体"/>
              </w:rPr>
              <w:t>最终承销费报价费率</w:t>
            </w:r>
          </w:p>
        </w:tc>
        <w:tc>
          <w:tcPr>
            <w:tcW w:w="70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rPr>
            </w:pPr>
            <w:r>
              <w:rPr>
                <w:rFonts w:hint="eastAsia" w:ascii="仿宋" w:hAnsi="仿宋" w:eastAsia="仿宋" w:cs="宋体"/>
              </w:rPr>
              <w:t>小写：‰/年</w:t>
            </w:r>
          </w:p>
        </w:tc>
      </w:tr>
      <w:tr>
        <w:tblPrEx>
          <w:tblLayout w:type="fixed"/>
          <w:tblCellMar>
            <w:top w:w="0" w:type="dxa"/>
            <w:left w:w="108" w:type="dxa"/>
            <w:bottom w:w="0" w:type="dxa"/>
            <w:right w:w="108" w:type="dxa"/>
          </w:tblCellMar>
        </w:tblPrEx>
        <w:trPr>
          <w:trHeight w:val="1134" w:hRule="atLeast"/>
          <w:jc w:val="center"/>
        </w:trPr>
        <w:tc>
          <w:tcPr>
            <w:tcW w:w="1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lang w:eastAsia="zh-CN"/>
              </w:rPr>
            </w:pPr>
            <w:r>
              <w:rPr>
                <w:rFonts w:hint="eastAsia" w:ascii="仿宋" w:hAnsi="仿宋" w:eastAsia="仿宋" w:cs="宋体"/>
                <w:lang w:eastAsia="zh-CN"/>
              </w:rPr>
              <w:t>是否响应比选文件服务期限要求</w:t>
            </w:r>
          </w:p>
        </w:tc>
        <w:tc>
          <w:tcPr>
            <w:tcW w:w="700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lang w:eastAsia="zh-CN"/>
              </w:rPr>
            </w:pPr>
          </w:p>
        </w:tc>
      </w:tr>
      <w:tr>
        <w:tblPrEx>
          <w:tblLayout w:type="fixed"/>
          <w:tblCellMar>
            <w:top w:w="0" w:type="dxa"/>
            <w:left w:w="108" w:type="dxa"/>
            <w:bottom w:w="0" w:type="dxa"/>
            <w:right w:w="108" w:type="dxa"/>
          </w:tblCellMar>
        </w:tblPrEx>
        <w:trPr>
          <w:trHeight w:val="1134" w:hRule="atLeast"/>
          <w:jc w:val="center"/>
        </w:trPr>
        <w:tc>
          <w:tcPr>
            <w:tcW w:w="1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rPr>
            </w:pPr>
            <w:r>
              <w:rPr>
                <w:rFonts w:hint="eastAsia" w:ascii="仿宋" w:hAnsi="仿宋" w:eastAsia="仿宋" w:cs="宋体"/>
              </w:rPr>
              <w:t>备注</w:t>
            </w:r>
          </w:p>
        </w:tc>
        <w:tc>
          <w:tcPr>
            <w:tcW w:w="7009"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rPr>
            </w:pPr>
            <w:r>
              <w:rPr>
                <w:rFonts w:hint="eastAsia" w:ascii="仿宋" w:hAnsi="仿宋" w:eastAsia="仿宋" w:cs="宋体"/>
              </w:rPr>
              <w:t>　</w:t>
            </w:r>
          </w:p>
        </w:tc>
      </w:tr>
    </w:tbl>
    <w:p>
      <w:pPr>
        <w:ind w:firstLine="4480" w:firstLineChars="1600"/>
        <w:rPr>
          <w:rFonts w:ascii="仿宋" w:hAnsi="仿宋" w:eastAsia="仿宋"/>
          <w:sz w:val="28"/>
          <w:szCs w:val="28"/>
        </w:rPr>
      </w:pPr>
    </w:p>
    <w:p>
      <w:pPr>
        <w:ind w:firstLine="5040" w:firstLineChars="1800"/>
        <w:rPr>
          <w:rFonts w:ascii="仿宋" w:hAnsi="仿宋" w:eastAsia="仿宋"/>
          <w:sz w:val="28"/>
          <w:szCs w:val="28"/>
        </w:rPr>
      </w:pPr>
      <w:r>
        <w:rPr>
          <w:rFonts w:hint="eastAsia" w:ascii="仿宋" w:hAnsi="仿宋" w:eastAsia="仿宋"/>
          <w:sz w:val="28"/>
          <w:szCs w:val="28"/>
        </w:rPr>
        <w:t>比选申请人公章：</w:t>
      </w:r>
    </w:p>
    <w:p>
      <w:pPr>
        <w:ind w:firstLine="5040" w:firstLineChars="1800"/>
        <w:rPr>
          <w:rFonts w:ascii="仿宋" w:hAnsi="仿宋" w:eastAsia="仿宋"/>
          <w:sz w:val="28"/>
          <w:szCs w:val="28"/>
        </w:rPr>
      </w:pPr>
      <w:r>
        <w:rPr>
          <w:rFonts w:hint="eastAsia" w:ascii="仿宋" w:hAnsi="仿宋" w:eastAsia="仿宋"/>
          <w:sz w:val="28"/>
          <w:szCs w:val="28"/>
        </w:rPr>
        <w:t>日 期：</w:t>
      </w:r>
    </w:p>
    <w:p>
      <w:pPr>
        <w:rPr>
          <w:rFonts w:ascii="仿宋" w:hAnsi="仿宋" w:eastAsia="仿宋"/>
          <w:sz w:val="28"/>
          <w:szCs w:val="28"/>
        </w:rPr>
      </w:pPr>
    </w:p>
    <w:p>
      <w:pPr>
        <w:rPr>
          <w:rFonts w:ascii="仿宋" w:hAnsi="仿宋" w:eastAsia="仿宋"/>
          <w:sz w:val="28"/>
          <w:szCs w:val="28"/>
        </w:rPr>
      </w:pPr>
    </w:p>
    <w:p>
      <w:pPr>
        <w:rPr>
          <w:rFonts w:ascii="仿宋" w:hAnsi="仿宋" w:eastAsia="仿宋"/>
        </w:rPr>
      </w:pPr>
      <w:r>
        <w:rPr>
          <w:rFonts w:hint="eastAsia" w:ascii="仿宋" w:hAnsi="仿宋" w:eastAsia="仿宋"/>
        </w:rPr>
        <w:t>注：</w:t>
      </w:r>
    </w:p>
    <w:p>
      <w:pPr>
        <w:rPr>
          <w:rFonts w:ascii="仿宋" w:hAnsi="仿宋" w:eastAsia="仿宋"/>
          <w:lang w:eastAsia="zh-CN"/>
        </w:rPr>
      </w:pPr>
      <w:r>
        <w:rPr>
          <w:rFonts w:hint="eastAsia" w:ascii="仿宋" w:hAnsi="仿宋" w:eastAsia="仿宋"/>
          <w:lang w:eastAsia="zh-CN"/>
        </w:rPr>
        <w:t>1.表中最终承销费报价费率即为优惠后报价费率，并作为评审及定标依据。任何有选择或有条件的最终报价费率，或者表中填写多个报价费率，或者报价费率为零，均为无效报价费率。</w:t>
      </w:r>
    </w:p>
    <w:p>
      <w:pPr>
        <w:rPr>
          <w:rFonts w:ascii="仿宋" w:hAnsi="仿宋" w:eastAsia="仿宋"/>
          <w:lang w:eastAsia="zh-CN"/>
        </w:rPr>
      </w:pPr>
      <w:r>
        <w:rPr>
          <w:rFonts w:hint="eastAsia" w:ascii="仿宋" w:hAnsi="仿宋" w:eastAsia="仿宋"/>
          <w:lang w:eastAsia="zh-CN"/>
        </w:rPr>
        <w:t>2.报价中小数点后不超过两位，举例：0.99‰/年。</w:t>
      </w:r>
    </w:p>
    <w:p>
      <w:pPr>
        <w:rPr>
          <w:rFonts w:ascii="仿宋" w:hAnsi="仿宋" w:eastAsia="仿宋"/>
          <w:lang w:eastAsia="zh-CN"/>
        </w:rPr>
      </w:pPr>
    </w:p>
    <w:p>
      <w:pPr>
        <w:pStyle w:val="7"/>
        <w:rPr>
          <w:lang w:eastAsia="zh-CN"/>
        </w:rPr>
      </w:pPr>
    </w:p>
    <w:p>
      <w:pPr>
        <w:rPr>
          <w:rFonts w:ascii="仿宋" w:hAnsi="仿宋" w:eastAsia="仿宋"/>
          <w:lang w:eastAsia="zh-CN"/>
        </w:rPr>
      </w:pPr>
    </w:p>
    <w:p>
      <w:pPr>
        <w:rPr>
          <w:rFonts w:ascii="仿宋" w:hAnsi="仿宋" w:eastAsia="仿宋"/>
          <w:lang w:eastAsia="zh-CN"/>
        </w:rPr>
      </w:pPr>
    </w:p>
    <w:p>
      <w:pPr>
        <w:rPr>
          <w:rFonts w:hint="eastAsia" w:ascii="仿宋" w:hAnsi="仿宋" w:eastAsia="仿宋"/>
          <w:sz w:val="28"/>
          <w:szCs w:val="28"/>
          <w:lang w:eastAsia="zh-CN"/>
        </w:rPr>
      </w:pPr>
      <w:r>
        <w:rPr>
          <w:rFonts w:hint="eastAsia" w:ascii="仿宋" w:hAnsi="仿宋" w:eastAsia="仿宋"/>
        </w:rPr>
        <w:t>附件</w:t>
      </w:r>
      <w:r>
        <w:rPr>
          <w:rFonts w:hint="eastAsia" w:ascii="仿宋" w:hAnsi="仿宋" w:eastAsia="仿宋"/>
          <w:lang w:val="en-US" w:eastAsia="zh-CN"/>
        </w:rPr>
        <w:t>6</w:t>
      </w:r>
    </w:p>
    <w:p>
      <w:pPr>
        <w:jc w:val="center"/>
        <w:rPr>
          <w:rFonts w:ascii="仿宋" w:hAnsi="仿宋" w:eastAsia="仿宋"/>
          <w:b/>
          <w:bCs/>
          <w:sz w:val="32"/>
          <w:szCs w:val="32"/>
        </w:rPr>
      </w:pPr>
      <w:r>
        <w:rPr>
          <w:rFonts w:hint="eastAsia" w:ascii="仿宋" w:hAnsi="仿宋" w:eastAsia="仿宋"/>
          <w:b/>
          <w:bCs/>
          <w:sz w:val="32"/>
          <w:szCs w:val="32"/>
        </w:rPr>
        <w:t>承销服务方案</w:t>
      </w:r>
    </w:p>
    <w:p>
      <w:pPr>
        <w:numPr>
          <w:ilvl w:val="0"/>
          <w:numId w:val="2"/>
        </w:numPr>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比选申请人服务时间效率</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6"/>
        <w:gridCol w:w="1078"/>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696" w:type="dxa"/>
            <w:vAlign w:val="center"/>
          </w:tcPr>
          <w:p>
            <w:pPr>
              <w:pStyle w:val="15"/>
              <w:spacing w:line="240" w:lineRule="auto"/>
              <w:ind w:firstLine="0"/>
              <w:jc w:val="center"/>
              <w:rPr>
                <w:sz w:val="24"/>
                <w:szCs w:val="24"/>
                <w:lang w:val="en-US" w:eastAsia="zh-CN"/>
              </w:rPr>
            </w:pPr>
            <w:r>
              <w:rPr>
                <w:color w:val="000000"/>
                <w:sz w:val="24"/>
                <w:szCs w:val="24"/>
              </w:rPr>
              <w:t>项目</w:t>
            </w:r>
          </w:p>
        </w:tc>
        <w:tc>
          <w:tcPr>
            <w:tcW w:w="1078" w:type="dxa"/>
            <w:vAlign w:val="center"/>
          </w:tcPr>
          <w:p>
            <w:pPr>
              <w:pStyle w:val="15"/>
              <w:spacing w:line="240" w:lineRule="auto"/>
              <w:ind w:firstLine="0"/>
              <w:jc w:val="center"/>
              <w:rPr>
                <w:sz w:val="24"/>
                <w:szCs w:val="24"/>
                <w:lang w:val="en-US" w:eastAsia="zh-CN"/>
              </w:rPr>
            </w:pPr>
            <w:r>
              <w:rPr>
                <w:color w:val="000000"/>
                <w:sz w:val="24"/>
                <w:szCs w:val="24"/>
              </w:rPr>
              <w:t>时间</w:t>
            </w:r>
          </w:p>
        </w:tc>
        <w:tc>
          <w:tcPr>
            <w:tcW w:w="748" w:type="dxa"/>
            <w:vAlign w:val="center"/>
          </w:tcPr>
          <w:p>
            <w:pPr>
              <w:pStyle w:val="15"/>
              <w:spacing w:line="240" w:lineRule="auto"/>
              <w:ind w:firstLine="0"/>
              <w:jc w:val="center"/>
              <w:rPr>
                <w:sz w:val="24"/>
                <w:szCs w:val="24"/>
                <w:lang w:val="en-US" w:eastAsia="zh-CN"/>
              </w:rPr>
            </w:pPr>
            <w:r>
              <w:rPr>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6" w:type="dxa"/>
          </w:tcPr>
          <w:p>
            <w:pPr>
              <w:spacing w:line="360" w:lineRule="auto"/>
              <w:jc w:val="both"/>
              <w:rPr>
                <w:szCs w:val="21"/>
                <w:lang w:eastAsia="zh-CN"/>
              </w:rPr>
            </w:pPr>
            <w:r>
              <w:rPr>
                <w:szCs w:val="21"/>
                <w:lang w:eastAsia="zh-CN"/>
              </w:rPr>
              <w:t>收到中标通知书之日起至出具并向集团提供推荐函当天的天数</w:t>
            </w:r>
          </w:p>
        </w:tc>
        <w:tc>
          <w:tcPr>
            <w:tcW w:w="1078" w:type="dxa"/>
          </w:tcPr>
          <w:p>
            <w:pPr>
              <w:ind w:firstLine="960" w:firstLineChars="400"/>
              <w:jc w:val="both"/>
              <w:rPr>
                <w:szCs w:val="21"/>
                <w:u w:val="single"/>
                <w:lang w:eastAsia="zh-CN"/>
              </w:rPr>
            </w:pPr>
          </w:p>
          <w:p>
            <w:pPr>
              <w:ind w:left="120" w:leftChars="50" w:firstLine="840" w:firstLineChars="350"/>
              <w:jc w:val="both"/>
              <w:rPr>
                <w:rFonts w:ascii="仿宋" w:hAnsi="仿宋" w:eastAsia="仿宋"/>
                <w:sz w:val="32"/>
                <w:szCs w:val="32"/>
              </w:rPr>
            </w:pPr>
            <w:r>
              <w:rPr>
                <w:rFonts w:hint="eastAsia" w:ascii="宋体" w:hAnsi="宋体" w:eastAsia="宋体" w:cs="宋体"/>
                <w:szCs w:val="21"/>
              </w:rPr>
              <w:t>自天</w:t>
            </w:r>
          </w:p>
        </w:tc>
        <w:tc>
          <w:tcPr>
            <w:tcW w:w="748" w:type="dxa"/>
          </w:tcPr>
          <w:p>
            <w:pPr>
              <w:jc w:val="both"/>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6696" w:type="dxa"/>
          </w:tcPr>
          <w:p>
            <w:pPr>
              <w:spacing w:line="360" w:lineRule="auto"/>
              <w:jc w:val="both"/>
              <w:rPr>
                <w:rFonts w:ascii="仿宋" w:hAnsi="仿宋" w:eastAsia="仿宋"/>
                <w:sz w:val="32"/>
                <w:szCs w:val="32"/>
                <w:lang w:eastAsia="zh-CN"/>
              </w:rPr>
            </w:pPr>
            <w:r>
              <w:rPr>
                <w:szCs w:val="21"/>
                <w:lang w:eastAsia="zh-CN"/>
              </w:rPr>
              <w:t>材料上报交易商协会日到领取通知书的时间</w:t>
            </w:r>
          </w:p>
        </w:tc>
        <w:tc>
          <w:tcPr>
            <w:tcW w:w="1078" w:type="dxa"/>
          </w:tcPr>
          <w:p>
            <w:pPr>
              <w:ind w:firstLine="960" w:firstLineChars="400"/>
              <w:jc w:val="both"/>
              <w:rPr>
                <w:szCs w:val="21"/>
                <w:u w:val="single"/>
                <w:lang w:eastAsia="zh-CN"/>
              </w:rPr>
            </w:pPr>
          </w:p>
          <w:p>
            <w:pPr>
              <w:ind w:left="120" w:leftChars="50" w:firstLine="840" w:firstLineChars="350"/>
              <w:jc w:val="both"/>
              <w:rPr>
                <w:rFonts w:eastAsiaTheme="minorEastAsia"/>
                <w:szCs w:val="21"/>
                <w:lang w:eastAsia="zh-CN"/>
              </w:rPr>
            </w:pPr>
            <w:r>
              <w:rPr>
                <w:szCs w:val="21"/>
              </w:rPr>
              <w:t>自天</w:t>
            </w:r>
          </w:p>
          <w:p>
            <w:pPr>
              <w:ind w:firstLine="960" w:firstLineChars="400"/>
              <w:jc w:val="both"/>
              <w:rPr>
                <w:szCs w:val="21"/>
              </w:rPr>
            </w:pPr>
          </w:p>
        </w:tc>
        <w:tc>
          <w:tcPr>
            <w:tcW w:w="748" w:type="dxa"/>
          </w:tcPr>
          <w:p>
            <w:pPr>
              <w:jc w:val="both"/>
              <w:rPr>
                <w:rFonts w:ascii="仿宋" w:hAnsi="仿宋" w:eastAsia="仿宋"/>
                <w:sz w:val="32"/>
                <w:szCs w:val="32"/>
              </w:rPr>
            </w:pPr>
          </w:p>
        </w:tc>
      </w:tr>
    </w:tbl>
    <w:p>
      <w:pPr>
        <w:spacing w:line="360" w:lineRule="auto"/>
        <w:ind w:firstLine="442" w:firstLineChars="200"/>
        <w:rPr>
          <w:rFonts w:ascii="宋体" w:hAnsi="宋体" w:eastAsia="宋体" w:cs="宋体"/>
          <w:sz w:val="22"/>
          <w:lang w:eastAsia="zh-CN" w:bidi="zh-TW"/>
        </w:rPr>
      </w:pPr>
      <w:r>
        <w:rPr>
          <w:rFonts w:hint="eastAsia" w:ascii="宋体" w:hAnsi="宋体" w:eastAsia="宋体" w:cs="宋体"/>
          <w:b/>
          <w:bCs/>
          <w:sz w:val="22"/>
          <w:lang w:eastAsia="zh-CN" w:bidi="zh-TW"/>
        </w:rPr>
        <w:t>注：1.收到中标通知书之日起至出具并向集团提供推荐函当天的天数，原则上不超过30个自然日。</w:t>
      </w:r>
    </w:p>
    <w:p>
      <w:pPr>
        <w:spacing w:after="119" w:line="1" w:lineRule="exact"/>
        <w:rPr>
          <w:lang w:eastAsia="zh-CN"/>
        </w:rPr>
      </w:pPr>
    </w:p>
    <w:p>
      <w:pPr>
        <w:spacing w:line="360" w:lineRule="auto"/>
        <w:ind w:firstLine="663" w:firstLineChars="300"/>
        <w:rPr>
          <w:rFonts w:ascii="宋体" w:hAnsi="宋体" w:eastAsia="宋体" w:cs="宋体"/>
          <w:b/>
          <w:bCs/>
          <w:sz w:val="22"/>
          <w:lang w:eastAsia="zh-CN" w:bidi="zh-TW"/>
        </w:rPr>
      </w:pPr>
      <w:r>
        <w:rPr>
          <w:rFonts w:hint="eastAsia" w:ascii="宋体" w:hAnsi="宋体" w:eastAsia="宋体" w:cs="宋体"/>
          <w:b/>
          <w:bCs/>
          <w:sz w:val="22"/>
          <w:lang w:eastAsia="zh-CN" w:bidi="zh-TW"/>
        </w:rPr>
        <w:t>2.材料上报交易商协会日到领取通知书的时间，原则上不超过60个自然日。</w:t>
      </w:r>
    </w:p>
    <w:p>
      <w:pPr>
        <w:ind w:left="560"/>
        <w:jc w:val="both"/>
        <w:rPr>
          <w:rFonts w:ascii="仿宋" w:hAnsi="仿宋" w:eastAsia="仿宋"/>
          <w:sz w:val="28"/>
          <w:szCs w:val="28"/>
          <w:lang w:eastAsia="zh-CN"/>
        </w:rPr>
      </w:pPr>
    </w:p>
    <w:p>
      <w:pPr>
        <w:ind w:left="560"/>
        <w:jc w:val="both"/>
        <w:rPr>
          <w:rFonts w:ascii="仿宋" w:hAnsi="仿宋" w:eastAsia="仿宋"/>
          <w:sz w:val="28"/>
          <w:szCs w:val="28"/>
          <w:lang w:eastAsia="zh-CN"/>
        </w:rPr>
      </w:pPr>
    </w:p>
    <w:p>
      <w:pPr>
        <w:numPr>
          <w:ilvl w:val="0"/>
          <w:numId w:val="2"/>
        </w:numPr>
        <w:ind w:firstLine="560" w:firstLineChars="200"/>
        <w:jc w:val="both"/>
        <w:rPr>
          <w:rFonts w:ascii="仿宋" w:hAnsi="仿宋" w:eastAsia="仿宋"/>
          <w:sz w:val="28"/>
          <w:szCs w:val="28"/>
        </w:rPr>
      </w:pPr>
      <w:r>
        <w:rPr>
          <w:rFonts w:hint="eastAsia" w:ascii="仿宋" w:hAnsi="仿宋" w:eastAsia="仿宋"/>
          <w:sz w:val="28"/>
          <w:szCs w:val="28"/>
        </w:rPr>
        <w:t>承销方案</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比选申请人自行设置格式。（比选申请人可自行制作格式，其中必须包括评审指标所述承销服务方案、人员配置方案、创新性建议，其余内容不限）</w:t>
      </w:r>
    </w:p>
    <w:p>
      <w:pPr>
        <w:ind w:firstLine="560" w:firstLineChars="200"/>
        <w:rPr>
          <w:rFonts w:ascii="仿宋" w:hAnsi="仿宋" w:eastAsia="仿宋"/>
          <w:sz w:val="28"/>
          <w:szCs w:val="28"/>
          <w:lang w:eastAsia="zh-CN"/>
        </w:rPr>
      </w:pPr>
    </w:p>
    <w:p>
      <w:pPr>
        <w:pStyle w:val="16"/>
        <w:spacing w:line="360" w:lineRule="auto"/>
        <w:ind w:left="0" w:firstLine="0"/>
        <w:jc w:val="left"/>
        <w:rPr>
          <w:rFonts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注：1.请比选申请人如实填写，若填写内容存在虚假陈述，此项得分将被取消。</w:t>
      </w:r>
    </w:p>
    <w:p>
      <w:pPr>
        <w:pStyle w:val="16"/>
        <w:tabs>
          <w:tab w:val="left" w:pos="786"/>
        </w:tabs>
        <w:spacing w:line="360" w:lineRule="auto"/>
        <w:ind w:left="0" w:firstLineChars="200"/>
        <w:jc w:val="left"/>
        <w:rPr>
          <w:rFonts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2.承销服务方案中须承诺，中期票据、超短期融资券釆取余额包销的方式。</w:t>
      </w:r>
    </w:p>
    <w:p>
      <w:pPr>
        <w:pStyle w:val="16"/>
        <w:spacing w:line="360" w:lineRule="auto"/>
        <w:ind w:left="790" w:leftChars="329" w:firstLine="0"/>
        <w:jc w:val="left"/>
        <w:rPr>
          <w:rFonts w:ascii="仿宋" w:hAnsi="仿宋" w:eastAsia="仿宋" w:cstheme="minorBidi"/>
          <w:sz w:val="24"/>
          <w:szCs w:val="24"/>
          <w:lang w:val="en-US" w:eastAsia="zh-CN" w:bidi="ar-SA"/>
        </w:rPr>
      </w:pPr>
    </w:p>
    <w:p>
      <w:pPr>
        <w:wordWrap w:val="0"/>
        <w:ind w:right="560" w:firstLine="5040" w:firstLineChars="1800"/>
        <w:rPr>
          <w:rFonts w:ascii="仿宋" w:hAnsi="仿宋" w:eastAsia="仿宋"/>
          <w:sz w:val="28"/>
          <w:szCs w:val="28"/>
          <w:lang w:eastAsia="zh-CN"/>
        </w:rPr>
      </w:pPr>
      <w:r>
        <w:rPr>
          <w:rFonts w:hint="eastAsia" w:ascii="仿宋" w:hAnsi="仿宋" w:eastAsia="仿宋"/>
          <w:sz w:val="28"/>
          <w:szCs w:val="28"/>
          <w:lang w:eastAsia="zh-CN"/>
        </w:rPr>
        <w:t>比选申请人公章：</w:t>
      </w:r>
    </w:p>
    <w:p>
      <w:pPr>
        <w:wordWrap w:val="0"/>
        <w:ind w:right="560" w:firstLine="5040" w:firstLineChars="1800"/>
        <w:rPr>
          <w:rFonts w:ascii="仿宋" w:hAnsi="仿宋" w:eastAsia="仿宋"/>
          <w:sz w:val="28"/>
          <w:szCs w:val="28"/>
          <w:lang w:eastAsia="zh-CN"/>
        </w:rPr>
      </w:pPr>
      <w:r>
        <w:rPr>
          <w:rFonts w:hint="eastAsia" w:ascii="仿宋" w:hAnsi="仿宋" w:eastAsia="仿宋"/>
          <w:sz w:val="28"/>
          <w:szCs w:val="28"/>
          <w:lang w:eastAsia="zh-CN"/>
        </w:rPr>
        <w:t>日期：</w:t>
      </w:r>
    </w:p>
    <w:p>
      <w:pPr>
        <w:rPr>
          <w:rFonts w:ascii="仿宋" w:hAnsi="仿宋" w:eastAsia="仿宋"/>
          <w:sz w:val="28"/>
          <w:szCs w:val="28"/>
          <w:lang w:eastAsia="zh-CN"/>
        </w:rPr>
      </w:pPr>
    </w:p>
    <w:p>
      <w:pPr>
        <w:rPr>
          <w:rFonts w:ascii="仿宋" w:hAnsi="仿宋" w:eastAsia="仿宋"/>
          <w:lang w:eastAsia="zh-CN"/>
        </w:rPr>
      </w:pPr>
    </w:p>
    <w:p>
      <w:pPr>
        <w:rPr>
          <w:rFonts w:hint="eastAsia" w:ascii="仿宋" w:hAnsi="仿宋" w:eastAsia="仿宋"/>
          <w:lang w:val="en-US" w:eastAsia="zh-CN"/>
        </w:rPr>
      </w:pPr>
      <w:r>
        <w:rPr>
          <w:rFonts w:hint="eastAsia" w:ascii="仿宋" w:hAnsi="仿宋" w:eastAsia="仿宋"/>
          <w:lang w:eastAsia="zh-CN"/>
        </w:rPr>
        <w:t>附件</w:t>
      </w:r>
      <w:r>
        <w:rPr>
          <w:rFonts w:hint="eastAsia" w:ascii="仿宋" w:hAnsi="仿宋" w:eastAsia="仿宋"/>
          <w:lang w:val="en-US" w:eastAsia="zh-CN"/>
        </w:rPr>
        <w:t>7</w:t>
      </w:r>
    </w:p>
    <w:p>
      <w:pPr>
        <w:jc w:val="center"/>
        <w:rPr>
          <w:rFonts w:hint="default" w:ascii="仿宋" w:hAnsi="仿宋" w:eastAsia="仿宋" w:cs="Times New Roman"/>
          <w:b/>
          <w:bCs/>
          <w:sz w:val="32"/>
          <w:szCs w:val="32"/>
          <w:lang w:val="en-US" w:eastAsia="zh-CN"/>
        </w:rPr>
      </w:pPr>
      <w:r>
        <w:rPr>
          <w:rFonts w:hint="eastAsia" w:ascii="仿宋" w:hAnsi="仿宋" w:eastAsia="仿宋" w:cs="Times New Roman"/>
          <w:b/>
          <w:bCs/>
          <w:sz w:val="32"/>
          <w:szCs w:val="32"/>
          <w:lang w:eastAsia="zh-CN"/>
        </w:rPr>
        <w:t>债券余额包销的承诺函</w:t>
      </w:r>
      <w:r>
        <w:rPr>
          <w:rFonts w:hint="eastAsia" w:ascii="仿宋" w:hAnsi="仿宋" w:eastAsia="仿宋" w:cs="Times New Roman"/>
          <w:b/>
          <w:bCs/>
          <w:sz w:val="32"/>
          <w:szCs w:val="32"/>
          <w:lang w:val="en-US" w:eastAsia="zh-CN"/>
        </w:rPr>
        <w:t>/</w:t>
      </w:r>
      <w:r>
        <w:rPr>
          <w:rFonts w:hint="eastAsia" w:ascii="仿宋" w:hAnsi="仿宋" w:eastAsia="仿宋" w:cs="Times New Roman"/>
          <w:b/>
          <w:bCs/>
          <w:sz w:val="32"/>
          <w:szCs w:val="32"/>
          <w:lang w:eastAsia="zh-CN"/>
        </w:rPr>
        <w:t>履约保障承诺函</w:t>
      </w:r>
    </w:p>
    <w:p>
      <w:pPr>
        <w:ind w:firstLine="560" w:firstLineChars="20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（超短融</w:t>
      </w:r>
      <w:r>
        <w:rPr>
          <w:rFonts w:hint="eastAsia" w:ascii="仿宋" w:hAnsi="仿宋" w:eastAsia="仿宋" w:cs="Times New Roman"/>
          <w:sz w:val="28"/>
          <w:szCs w:val="28"/>
          <w:lang w:val="en-US" w:eastAsia="zh-CN"/>
        </w:rPr>
        <w:t>或</w:t>
      </w:r>
      <w:r>
        <w:rPr>
          <w:rFonts w:hint="eastAsia" w:ascii="仿宋" w:hAnsi="仿宋" w:eastAsia="仿宋" w:cs="Times New Roman"/>
          <w:sz w:val="28"/>
          <w:szCs w:val="28"/>
          <w:lang w:eastAsia="zh-CN"/>
        </w:rPr>
        <w:t>中票，格式自拟加盖单位公章）</w:t>
      </w:r>
    </w:p>
    <w:p>
      <w:pPr>
        <w:pStyle w:val="7"/>
        <w:rPr>
          <w:rFonts w:hint="eastAsia"/>
          <w:lang w:val="en-US"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ascii="仿宋" w:hAnsi="仿宋" w:eastAsia="仿宋"/>
          <w:sz w:val="28"/>
          <w:szCs w:val="28"/>
          <w:lang w:eastAsia="zh-CN"/>
        </w:rPr>
      </w:pPr>
      <w:r>
        <w:rPr>
          <w:rFonts w:hint="eastAsia" w:ascii="仿宋" w:hAnsi="仿宋" w:eastAsia="仿宋"/>
          <w:lang w:eastAsia="zh-CN"/>
        </w:rPr>
        <w:t>附件</w:t>
      </w:r>
      <w:r>
        <w:rPr>
          <w:rFonts w:hint="eastAsia" w:ascii="仿宋" w:hAnsi="仿宋" w:eastAsia="仿宋"/>
          <w:lang w:val="en-US" w:eastAsia="zh-CN"/>
        </w:rPr>
        <w:t>8</w:t>
      </w:r>
    </w:p>
    <w:p>
      <w:pPr>
        <w:pStyle w:val="7"/>
        <w:ind w:left="0" w:leftChars="0" w:firstLine="0" w:firstLineChars="0"/>
        <w:rPr>
          <w:lang w:eastAsia="zh-CN"/>
        </w:rPr>
      </w:pPr>
    </w:p>
    <w:p>
      <w:pPr>
        <w:jc w:val="center"/>
        <w:rPr>
          <w:rFonts w:ascii="仿宋" w:hAnsi="仿宋" w:eastAsia="仿宋"/>
          <w:b/>
          <w:bCs/>
          <w:sz w:val="32"/>
          <w:szCs w:val="32"/>
          <w:lang w:eastAsia="zh-CN"/>
        </w:rPr>
      </w:pPr>
      <w:r>
        <w:rPr>
          <w:rFonts w:hint="eastAsia" w:ascii="仿宋" w:hAnsi="仿宋" w:eastAsia="仿宋"/>
          <w:b/>
          <w:bCs/>
          <w:sz w:val="32"/>
          <w:szCs w:val="32"/>
          <w:lang w:eastAsia="zh-CN"/>
        </w:rPr>
        <w:t>其他证明材料</w:t>
      </w:r>
    </w:p>
    <w:p>
      <w:pPr>
        <w:ind w:firstLine="560" w:firstLineChars="200"/>
        <w:rPr>
          <w:rFonts w:ascii="仿宋" w:hAnsi="仿宋" w:eastAsia="仿宋"/>
          <w:sz w:val="28"/>
          <w:szCs w:val="28"/>
          <w:lang w:eastAsia="zh-CN"/>
        </w:rPr>
      </w:pPr>
      <w:r>
        <w:rPr>
          <w:rFonts w:hint="eastAsia" w:ascii="仿宋" w:hAnsi="仿宋" w:eastAsia="仿宋"/>
          <w:sz w:val="28"/>
          <w:szCs w:val="28"/>
          <w:lang w:eastAsia="zh-CN"/>
        </w:rPr>
        <w:t>提供符合比选公告、比选需求及评标办法规定的相关证明文件，包括但不限于营业执照、承销资质及总公司授权书、为农垦集团（含子公司）新发放贷款清单（含认购债券）、为农垦集团投资企业发放的贷款清单等。</w:t>
      </w:r>
    </w:p>
    <w:p>
      <w:pPr>
        <w:rPr>
          <w:rFonts w:ascii="仿宋" w:hAnsi="仿宋" w:eastAsia="仿宋"/>
          <w:sz w:val="28"/>
          <w:szCs w:val="28"/>
          <w:lang w:eastAsia="zh-CN"/>
        </w:rPr>
      </w:pPr>
    </w:p>
    <w:p>
      <w:pPr>
        <w:ind w:firstLine="640" w:firstLineChars="200"/>
        <w:rPr>
          <w:rFonts w:eastAsia="仿宋_GB2312"/>
          <w:snapToGrid w:val="0"/>
          <w:sz w:val="32"/>
          <w:szCs w:val="32"/>
          <w:lang w:eastAsia="zh-CN"/>
        </w:rPr>
      </w:pPr>
    </w:p>
    <w:p>
      <w:pPr>
        <w:ind w:firstLine="640" w:firstLineChars="200"/>
        <w:rPr>
          <w:rFonts w:ascii="仿宋_GB2312" w:hAnsi="宋体"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书宋简体">
    <w:altName w:val="宋体"/>
    <w:panose1 w:val="03000509000000000000"/>
    <w:charset w:val="86"/>
    <w:family w:val="script"/>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AB3BD"/>
    <w:multiLevelType w:val="singleLevel"/>
    <w:tmpl w:val="C5EAB3BD"/>
    <w:lvl w:ilvl="0" w:tentative="0">
      <w:start w:val="1"/>
      <w:numFmt w:val="chineseCounting"/>
      <w:suff w:val="nothing"/>
      <w:lvlText w:val="%1、"/>
      <w:lvlJc w:val="left"/>
      <w:rPr>
        <w:rFonts w:hint="eastAsia"/>
      </w:rPr>
    </w:lvl>
  </w:abstractNum>
  <w:abstractNum w:abstractNumId="1">
    <w:nsid w:val="637DDC77"/>
    <w:multiLevelType w:val="singleLevel"/>
    <w:tmpl w:val="637DDC77"/>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08"/>
    <w:rsid w:val="00003555"/>
    <w:rsid w:val="00011EB5"/>
    <w:rsid w:val="00026996"/>
    <w:rsid w:val="00027E21"/>
    <w:rsid w:val="000407EB"/>
    <w:rsid w:val="00047F75"/>
    <w:rsid w:val="00054DEF"/>
    <w:rsid w:val="000720BD"/>
    <w:rsid w:val="000D378D"/>
    <w:rsid w:val="000F705D"/>
    <w:rsid w:val="00120CF7"/>
    <w:rsid w:val="0013483D"/>
    <w:rsid w:val="00145167"/>
    <w:rsid w:val="00147313"/>
    <w:rsid w:val="00155EA6"/>
    <w:rsid w:val="001B2B33"/>
    <w:rsid w:val="001E3A48"/>
    <w:rsid w:val="001F6FB0"/>
    <w:rsid w:val="0021337D"/>
    <w:rsid w:val="0021772A"/>
    <w:rsid w:val="00223A7B"/>
    <w:rsid w:val="00225F0C"/>
    <w:rsid w:val="0023088D"/>
    <w:rsid w:val="00251F24"/>
    <w:rsid w:val="0026576C"/>
    <w:rsid w:val="00265881"/>
    <w:rsid w:val="002E0FD9"/>
    <w:rsid w:val="002F7C69"/>
    <w:rsid w:val="003156CE"/>
    <w:rsid w:val="003168E1"/>
    <w:rsid w:val="00327B82"/>
    <w:rsid w:val="00372C45"/>
    <w:rsid w:val="00375B00"/>
    <w:rsid w:val="003846BF"/>
    <w:rsid w:val="00385F2A"/>
    <w:rsid w:val="003D21FB"/>
    <w:rsid w:val="003D7D9C"/>
    <w:rsid w:val="003E0330"/>
    <w:rsid w:val="004004D0"/>
    <w:rsid w:val="00430A73"/>
    <w:rsid w:val="0047330C"/>
    <w:rsid w:val="00493113"/>
    <w:rsid w:val="004A5EA5"/>
    <w:rsid w:val="004A7586"/>
    <w:rsid w:val="004B26D4"/>
    <w:rsid w:val="00506353"/>
    <w:rsid w:val="00532C9A"/>
    <w:rsid w:val="00546A8F"/>
    <w:rsid w:val="005A4F87"/>
    <w:rsid w:val="006054F7"/>
    <w:rsid w:val="00620185"/>
    <w:rsid w:val="006477DE"/>
    <w:rsid w:val="00674397"/>
    <w:rsid w:val="0068226F"/>
    <w:rsid w:val="00687740"/>
    <w:rsid w:val="0069303A"/>
    <w:rsid w:val="006F4AEA"/>
    <w:rsid w:val="00701849"/>
    <w:rsid w:val="00704945"/>
    <w:rsid w:val="00707DDC"/>
    <w:rsid w:val="00711C7F"/>
    <w:rsid w:val="00742264"/>
    <w:rsid w:val="0075646B"/>
    <w:rsid w:val="007A4634"/>
    <w:rsid w:val="007E34C0"/>
    <w:rsid w:val="007E6644"/>
    <w:rsid w:val="007F066E"/>
    <w:rsid w:val="007F4EBB"/>
    <w:rsid w:val="00801180"/>
    <w:rsid w:val="008351DD"/>
    <w:rsid w:val="00845677"/>
    <w:rsid w:val="00861925"/>
    <w:rsid w:val="00873C1F"/>
    <w:rsid w:val="0089243A"/>
    <w:rsid w:val="008C42C5"/>
    <w:rsid w:val="0093151F"/>
    <w:rsid w:val="00961FD8"/>
    <w:rsid w:val="00967313"/>
    <w:rsid w:val="00972C62"/>
    <w:rsid w:val="00974F11"/>
    <w:rsid w:val="009A0CBE"/>
    <w:rsid w:val="009A7032"/>
    <w:rsid w:val="009B6EF3"/>
    <w:rsid w:val="009C0089"/>
    <w:rsid w:val="009E5249"/>
    <w:rsid w:val="00A35008"/>
    <w:rsid w:val="00A56C1C"/>
    <w:rsid w:val="00A81977"/>
    <w:rsid w:val="00A95A94"/>
    <w:rsid w:val="00AB5959"/>
    <w:rsid w:val="00AC0D82"/>
    <w:rsid w:val="00AC3F08"/>
    <w:rsid w:val="00AD7660"/>
    <w:rsid w:val="00B06296"/>
    <w:rsid w:val="00B1506F"/>
    <w:rsid w:val="00B35162"/>
    <w:rsid w:val="00B47350"/>
    <w:rsid w:val="00B65440"/>
    <w:rsid w:val="00B67F05"/>
    <w:rsid w:val="00B775F8"/>
    <w:rsid w:val="00B85987"/>
    <w:rsid w:val="00BA25DC"/>
    <w:rsid w:val="00BD2C1B"/>
    <w:rsid w:val="00BD6459"/>
    <w:rsid w:val="00C04EFD"/>
    <w:rsid w:val="00C3219D"/>
    <w:rsid w:val="00C32588"/>
    <w:rsid w:val="00C33A44"/>
    <w:rsid w:val="00C34781"/>
    <w:rsid w:val="00C427F4"/>
    <w:rsid w:val="00C45E29"/>
    <w:rsid w:val="00C5762F"/>
    <w:rsid w:val="00C97DC5"/>
    <w:rsid w:val="00CC1081"/>
    <w:rsid w:val="00CC1DC3"/>
    <w:rsid w:val="00CC249A"/>
    <w:rsid w:val="00CF08E6"/>
    <w:rsid w:val="00CF2053"/>
    <w:rsid w:val="00D34311"/>
    <w:rsid w:val="00D623A7"/>
    <w:rsid w:val="00DB39B9"/>
    <w:rsid w:val="00DD45F3"/>
    <w:rsid w:val="00DE440E"/>
    <w:rsid w:val="00DF2EE0"/>
    <w:rsid w:val="00DF47A1"/>
    <w:rsid w:val="00E16678"/>
    <w:rsid w:val="00E20745"/>
    <w:rsid w:val="00E5680A"/>
    <w:rsid w:val="00E7565F"/>
    <w:rsid w:val="00E95660"/>
    <w:rsid w:val="00EC0E21"/>
    <w:rsid w:val="00EC6753"/>
    <w:rsid w:val="00ED0E85"/>
    <w:rsid w:val="00EE5A07"/>
    <w:rsid w:val="00F06E7A"/>
    <w:rsid w:val="00F74B3C"/>
    <w:rsid w:val="00FA1855"/>
    <w:rsid w:val="00FC470B"/>
    <w:rsid w:val="00FD1195"/>
    <w:rsid w:val="01DD34D3"/>
    <w:rsid w:val="04E53C23"/>
    <w:rsid w:val="06913491"/>
    <w:rsid w:val="06AE187B"/>
    <w:rsid w:val="07251ED0"/>
    <w:rsid w:val="08817812"/>
    <w:rsid w:val="0A780BBF"/>
    <w:rsid w:val="0B0F75EE"/>
    <w:rsid w:val="0BD15B63"/>
    <w:rsid w:val="0E631BBE"/>
    <w:rsid w:val="0ECC6600"/>
    <w:rsid w:val="10E9118E"/>
    <w:rsid w:val="11A27281"/>
    <w:rsid w:val="124C03B8"/>
    <w:rsid w:val="143351F2"/>
    <w:rsid w:val="14F27B22"/>
    <w:rsid w:val="153663CD"/>
    <w:rsid w:val="15ED5003"/>
    <w:rsid w:val="18023740"/>
    <w:rsid w:val="19522E18"/>
    <w:rsid w:val="1C8774E0"/>
    <w:rsid w:val="1FEC1ABA"/>
    <w:rsid w:val="21853D88"/>
    <w:rsid w:val="22B7341F"/>
    <w:rsid w:val="23431579"/>
    <w:rsid w:val="2B3C3BC4"/>
    <w:rsid w:val="2B5644B2"/>
    <w:rsid w:val="2D156514"/>
    <w:rsid w:val="2D8652C0"/>
    <w:rsid w:val="2E213E39"/>
    <w:rsid w:val="2EBF4D6D"/>
    <w:rsid w:val="336B0B5F"/>
    <w:rsid w:val="354753CB"/>
    <w:rsid w:val="381E72EA"/>
    <w:rsid w:val="386B01F7"/>
    <w:rsid w:val="3F021154"/>
    <w:rsid w:val="4242565A"/>
    <w:rsid w:val="4BDA7E84"/>
    <w:rsid w:val="4C1A3309"/>
    <w:rsid w:val="51591C79"/>
    <w:rsid w:val="56D6531D"/>
    <w:rsid w:val="56E37197"/>
    <w:rsid w:val="57CD696B"/>
    <w:rsid w:val="58CB1250"/>
    <w:rsid w:val="5CEF5CFC"/>
    <w:rsid w:val="5D1470F6"/>
    <w:rsid w:val="5F24706A"/>
    <w:rsid w:val="60774A12"/>
    <w:rsid w:val="651073D7"/>
    <w:rsid w:val="674E456B"/>
    <w:rsid w:val="69BF0ED3"/>
    <w:rsid w:val="6C6513D0"/>
    <w:rsid w:val="6D275CF3"/>
    <w:rsid w:val="70A2058A"/>
    <w:rsid w:val="72A8608C"/>
    <w:rsid w:val="73D47539"/>
    <w:rsid w:val="76E84FE3"/>
    <w:rsid w:val="7744600C"/>
    <w:rsid w:val="77B605FC"/>
    <w:rsid w:val="793D46A0"/>
    <w:rsid w:val="7BCB6793"/>
    <w:rsid w:val="7EDB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kern w:val="0"/>
      <w:sz w:val="24"/>
      <w:szCs w:val="24"/>
      <w:lang w:val="en-US" w:eastAsia="en-US" w:bidi="en-US"/>
    </w:rPr>
  </w:style>
  <w:style w:type="paragraph" w:styleId="3">
    <w:name w:val="heading 1"/>
    <w:basedOn w:val="1"/>
    <w:next w:val="1"/>
    <w:link w:val="14"/>
    <w:qFormat/>
    <w:uiPriority w:val="9"/>
    <w:pPr>
      <w:keepNext/>
      <w:keepLines/>
      <w:spacing w:before="340" w:after="330" w:line="578" w:lineRule="auto"/>
      <w:jc w:val="both"/>
      <w:outlineLvl w:val="0"/>
    </w:pPr>
    <w:rPr>
      <w:rFonts w:asciiTheme="minorHAnsi" w:hAnsiTheme="minorHAnsi" w:eastAsiaTheme="minorEastAsia" w:cstheme="minorBidi"/>
      <w:b/>
      <w:bCs/>
      <w:color w:val="auto"/>
      <w:kern w:val="44"/>
      <w:sz w:val="44"/>
      <w:szCs w:val="44"/>
      <w:lang w:eastAsia="zh-CN" w:bidi="ar-SA"/>
    </w:rPr>
  </w:style>
  <w:style w:type="paragraph" w:styleId="2">
    <w:name w:val="heading 3"/>
    <w:basedOn w:val="1"/>
    <w:next w:val="1"/>
    <w:unhideWhenUsed/>
    <w:qFormat/>
    <w:uiPriority w:val="9"/>
    <w:pPr>
      <w:keepNext/>
      <w:keepLines/>
      <w:spacing w:before="260" w:after="260" w:line="416" w:lineRule="auto"/>
      <w:jc w:val="center"/>
      <w:outlineLvl w:val="2"/>
    </w:pPr>
    <w:rPr>
      <w:rFonts w:ascii="宋体"/>
      <w:b/>
      <w:bCs/>
      <w:sz w:val="32"/>
      <w:szCs w:val="32"/>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next w:val="5"/>
    <w:qFormat/>
    <w:uiPriority w:val="0"/>
    <w:pPr>
      <w:spacing w:after="120" w:afterLines="0"/>
      <w:ind w:left="420" w:leftChars="200"/>
    </w:pPr>
  </w:style>
  <w:style w:type="paragraph" w:styleId="5">
    <w:name w:val="envelope return"/>
    <w:basedOn w:val="1"/>
    <w:qFormat/>
    <w:uiPriority w:val="0"/>
    <w:pPr>
      <w:snapToGrid w:val="0"/>
    </w:pPr>
    <w:rPr>
      <w:rFonts w:ascii="Arial" w:hAnsi="Arial"/>
    </w:rPr>
  </w:style>
  <w:style w:type="paragraph" w:styleId="6">
    <w:name w:val="Balloon Text"/>
    <w:basedOn w:val="1"/>
    <w:link w:val="13"/>
    <w:unhideWhenUsed/>
    <w:qFormat/>
    <w:uiPriority w:val="99"/>
    <w:rPr>
      <w:sz w:val="18"/>
      <w:szCs w:val="18"/>
    </w:rPr>
  </w:style>
  <w:style w:type="paragraph" w:styleId="7">
    <w:name w:val="Body Text First Indent 2"/>
    <w:basedOn w:val="4"/>
    <w:next w:val="8"/>
    <w:unhideWhenUsed/>
    <w:qFormat/>
    <w:uiPriority w:val="99"/>
    <w:pPr>
      <w:ind w:firstLine="420" w:firstLineChars="200"/>
    </w:pPr>
  </w:style>
  <w:style w:type="paragraph" w:styleId="8">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9">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12">
    <w:name w:val="Table Grid"/>
    <w:basedOn w:val="11"/>
    <w:qFormat/>
    <w:uiPriority w:val="59"/>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框文本 Char"/>
    <w:basedOn w:val="10"/>
    <w:link w:val="6"/>
    <w:semiHidden/>
    <w:qFormat/>
    <w:uiPriority w:val="99"/>
    <w:rPr>
      <w:rFonts w:ascii="Times New Roman" w:hAnsi="Times New Roman" w:eastAsia="Times New Roman" w:cs="Times New Roman"/>
      <w:color w:val="000000"/>
      <w:kern w:val="0"/>
      <w:sz w:val="18"/>
      <w:szCs w:val="18"/>
      <w:lang w:eastAsia="en-US" w:bidi="en-US"/>
    </w:rPr>
  </w:style>
  <w:style w:type="character" w:customStyle="1" w:styleId="14">
    <w:name w:val="标题 1 Char"/>
    <w:basedOn w:val="10"/>
    <w:link w:val="3"/>
    <w:qFormat/>
    <w:uiPriority w:val="9"/>
    <w:rPr>
      <w:b/>
      <w:bCs/>
      <w:kern w:val="44"/>
      <w:sz w:val="44"/>
      <w:szCs w:val="44"/>
    </w:rPr>
  </w:style>
  <w:style w:type="paragraph" w:customStyle="1" w:styleId="15">
    <w:name w:val="Other|1"/>
    <w:basedOn w:val="1"/>
    <w:qFormat/>
    <w:uiPriority w:val="0"/>
    <w:pPr>
      <w:spacing w:line="403" w:lineRule="auto"/>
      <w:ind w:firstLine="400"/>
      <w:jc w:val="both"/>
    </w:pPr>
    <w:rPr>
      <w:rFonts w:ascii="宋体" w:hAnsi="宋体" w:eastAsia="宋体" w:cs="宋体"/>
      <w:color w:val="auto"/>
      <w:kern w:val="2"/>
      <w:sz w:val="30"/>
      <w:szCs w:val="30"/>
      <w:lang w:val="zh-TW" w:eastAsia="zh-TW" w:bidi="zh-TW"/>
    </w:rPr>
  </w:style>
  <w:style w:type="paragraph" w:customStyle="1" w:styleId="16">
    <w:name w:val="Body text|2"/>
    <w:basedOn w:val="1"/>
    <w:qFormat/>
    <w:uiPriority w:val="0"/>
    <w:pPr>
      <w:spacing w:line="511" w:lineRule="exact"/>
      <w:ind w:left="180" w:firstLine="480"/>
      <w:jc w:val="both"/>
    </w:pPr>
    <w:rPr>
      <w:rFonts w:ascii="宋体" w:hAnsi="宋体" w:eastAsia="宋体" w:cs="宋体"/>
      <w:color w:val="auto"/>
      <w:kern w:val="2"/>
      <w:sz w:val="22"/>
      <w:szCs w:val="22"/>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1127</Words>
  <Characters>6424</Characters>
  <Lines>53</Lines>
  <Paragraphs>15</Paragraphs>
  <ScaleCrop>false</ScaleCrop>
  <LinksUpToDate>false</LinksUpToDate>
  <CharactersWithSpaces>7536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米宇新</dc:creator>
  <cp:lastModifiedBy>gyb1</cp:lastModifiedBy>
  <cp:lastPrinted>2022-11-23T09:19:00Z</cp:lastPrinted>
  <dcterms:modified xsi:type="dcterms:W3CDTF">2022-11-25T10:22:07Z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